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636363E6" w:rsidR="0012388D" w:rsidRDefault="00772BDC" w:rsidP="00CA5734">
      <w:pPr>
        <w:rPr>
          <w:rFonts w:cs="Arial"/>
        </w:rPr>
      </w:pPr>
      <w:r>
        <w:rPr>
          <w:rFonts w:cs="Arial"/>
          <w:noProof/>
          <w:lang w:eastAsia="en-GB" w:bidi="ar-SA"/>
        </w:rPr>
        <w:drawing>
          <wp:inline distT="0" distB="0" distL="0" distR="0" wp14:anchorId="32DB846A" wp14:editId="76FC6BAF">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6C1CB26F" w:rsidR="00A671E6" w:rsidRPr="00B46E09" w:rsidRDefault="00DB72B7" w:rsidP="00A671E6">
      <w:pPr>
        <w:rPr>
          <w:b/>
          <w:sz w:val="28"/>
          <w:szCs w:val="28"/>
        </w:rPr>
      </w:pPr>
      <w:r w:rsidRPr="00B46E09">
        <w:rPr>
          <w:b/>
          <w:sz w:val="28"/>
          <w:szCs w:val="28"/>
        </w:rPr>
        <w:t>21 March 2022</w:t>
      </w:r>
    </w:p>
    <w:p w14:paraId="05D0F5F1" w14:textId="5D499674" w:rsidR="00A671E6" w:rsidRPr="00B46E09" w:rsidRDefault="009B3141" w:rsidP="00A671E6">
      <w:pPr>
        <w:rPr>
          <w:b/>
          <w:sz w:val="28"/>
          <w:szCs w:val="28"/>
        </w:rPr>
      </w:pPr>
      <w:r>
        <w:rPr>
          <w:b/>
          <w:sz w:val="28"/>
          <w:szCs w:val="28"/>
        </w:rPr>
        <w:t>194</w:t>
      </w:r>
      <w:r w:rsidR="00DB72B7" w:rsidRPr="00B46E09">
        <w:rPr>
          <w:b/>
          <w:sz w:val="28"/>
          <w:szCs w:val="28"/>
        </w:rPr>
        <w:t>-22</w:t>
      </w:r>
      <w:bookmarkStart w:id="0" w:name="_GoBack"/>
      <w:bookmarkEnd w:id="0"/>
    </w:p>
    <w:p w14:paraId="3C77C31E" w14:textId="77777777" w:rsidR="00A671E6" w:rsidRPr="00B46E09" w:rsidRDefault="00A671E6" w:rsidP="00A671E6"/>
    <w:p w14:paraId="598521F3" w14:textId="64BE4E92" w:rsidR="0012388D" w:rsidRPr="00B46E09" w:rsidRDefault="00B425AA" w:rsidP="00B425AA">
      <w:pPr>
        <w:pStyle w:val="FSTitle"/>
      </w:pPr>
      <w:r w:rsidRPr="00B46E09">
        <w:t>A</w:t>
      </w:r>
      <w:r w:rsidR="00DD265C" w:rsidRPr="00B46E09">
        <w:t>pproval</w:t>
      </w:r>
      <w:r w:rsidRPr="00B46E09">
        <w:t xml:space="preserve"> </w:t>
      </w:r>
      <w:r w:rsidR="00B77C18" w:rsidRPr="00B46E09">
        <w:t>r</w:t>
      </w:r>
      <w:r w:rsidR="00DD265C" w:rsidRPr="00B46E09">
        <w:t>eport</w:t>
      </w:r>
      <w:r w:rsidRPr="00B46E09">
        <w:t xml:space="preserve"> – </w:t>
      </w:r>
      <w:r w:rsidR="00EB6590" w:rsidRPr="00B46E09">
        <w:t>A</w:t>
      </w:r>
      <w:r w:rsidR="00DD265C" w:rsidRPr="00B46E09">
        <w:t>pplication</w:t>
      </w:r>
      <w:r w:rsidR="00CA5734" w:rsidRPr="00B46E09">
        <w:t xml:space="preserve"> </w:t>
      </w:r>
      <w:r w:rsidR="003530E3" w:rsidRPr="00B46E09">
        <w:t xml:space="preserve">A1212 </w:t>
      </w:r>
    </w:p>
    <w:p w14:paraId="63744F20" w14:textId="77777777" w:rsidR="003A7B84" w:rsidRPr="00B46E09" w:rsidRDefault="003A7B84" w:rsidP="00A671E6"/>
    <w:p w14:paraId="000C7564" w14:textId="4F0A922E" w:rsidR="0012388D" w:rsidRPr="00B46E09" w:rsidRDefault="003530E3" w:rsidP="00B425AA">
      <w:pPr>
        <w:pStyle w:val="FSTitle"/>
      </w:pPr>
      <w:r w:rsidRPr="00B46E09">
        <w:t xml:space="preserve">Beta-fructofuranosidase enzyme from </w:t>
      </w:r>
      <w:r w:rsidRPr="00B46E09">
        <w:rPr>
          <w:i/>
        </w:rPr>
        <w:t>Aspergillus fijiensis</w:t>
      </w:r>
    </w:p>
    <w:p w14:paraId="79002CFB" w14:textId="77777777" w:rsidR="003A7B84" w:rsidRPr="00B46E09" w:rsidRDefault="003A7B84" w:rsidP="00871116">
      <w:pPr>
        <w:pBdr>
          <w:bottom w:val="single" w:sz="12" w:space="1" w:color="auto"/>
        </w:pBdr>
        <w:tabs>
          <w:tab w:val="left" w:pos="1140"/>
        </w:tabs>
        <w:rPr>
          <w:rFonts w:cs="Arial"/>
          <w:bCs/>
        </w:rPr>
      </w:pPr>
    </w:p>
    <w:p w14:paraId="16CA871C" w14:textId="77777777" w:rsidR="003A7B84" w:rsidRPr="00B46E09" w:rsidRDefault="003A7B84" w:rsidP="003A7B84"/>
    <w:p w14:paraId="72ADE9E7" w14:textId="08773EB7" w:rsidR="00EB6590" w:rsidRPr="00B46E09" w:rsidRDefault="000F3CFE" w:rsidP="00CA5734">
      <w:r w:rsidRPr="00B46E09">
        <w:t>Food Standards Australia New Zealand (FSANZ) has</w:t>
      </w:r>
      <w:r w:rsidR="00081B0A" w:rsidRPr="00B46E09">
        <w:t xml:space="preserve"> as</w:t>
      </w:r>
      <w:r w:rsidR="00081B0A" w:rsidRPr="00B46E09">
        <w:rPr>
          <w:szCs w:val="22"/>
        </w:rPr>
        <w:t>sessed an application</w:t>
      </w:r>
      <w:r w:rsidR="00CA5734" w:rsidRPr="00B46E09">
        <w:rPr>
          <w:szCs w:val="22"/>
        </w:rPr>
        <w:t xml:space="preserve"> </w:t>
      </w:r>
      <w:r w:rsidR="00081B0A" w:rsidRPr="00B46E09">
        <w:rPr>
          <w:szCs w:val="22"/>
        </w:rPr>
        <w:t xml:space="preserve">made by </w:t>
      </w:r>
      <w:r w:rsidR="003530E3" w:rsidRPr="00B46E09">
        <w:rPr>
          <w:szCs w:val="22"/>
        </w:rPr>
        <w:t xml:space="preserve">Meiji Food Materia Co., Ltd </w:t>
      </w:r>
      <w:r w:rsidR="003530E3" w:rsidRPr="00B46E09">
        <w:rPr>
          <w:szCs w:val="22"/>
          <w:lang w:val="en-AU"/>
        </w:rPr>
        <w:t xml:space="preserve">to </w:t>
      </w:r>
      <w:r w:rsidR="003530E3" w:rsidRPr="00B46E09">
        <w:rPr>
          <w:bCs/>
          <w:szCs w:val="22"/>
          <w:lang w:val="en-AU"/>
        </w:rPr>
        <w:t xml:space="preserve">permit </w:t>
      </w:r>
      <w:r w:rsidR="003530E3" w:rsidRPr="00B46E09">
        <w:rPr>
          <w:i/>
          <w:iCs/>
          <w:szCs w:val="22"/>
        </w:rPr>
        <w:t>Aspergillus fijiensis</w:t>
      </w:r>
      <w:r w:rsidR="003530E3" w:rsidRPr="00B46E09">
        <w:rPr>
          <w:szCs w:val="22"/>
          <w:lang w:val="en-AU"/>
        </w:rPr>
        <w:t xml:space="preserve"> as a </w:t>
      </w:r>
      <w:r w:rsidR="003530E3" w:rsidRPr="00B46E09">
        <w:rPr>
          <w:szCs w:val="22"/>
        </w:rPr>
        <w:t>microbial source for the production of the enzyme beta-fructofuranosidase as a processing aid in any food.</w:t>
      </w:r>
    </w:p>
    <w:p w14:paraId="14F32D9E" w14:textId="77777777" w:rsidR="00CA5734" w:rsidRPr="00B46E09" w:rsidRDefault="00CA5734" w:rsidP="00CA5734"/>
    <w:p w14:paraId="5029D30D" w14:textId="6ACE2F52" w:rsidR="00081B0A" w:rsidRPr="00B46E09" w:rsidRDefault="00081B0A" w:rsidP="00CA5734">
      <w:r w:rsidRPr="00B46E09">
        <w:t xml:space="preserve">On </w:t>
      </w:r>
      <w:r w:rsidR="003530E3" w:rsidRPr="00B46E09">
        <w:t>4 November 2021</w:t>
      </w:r>
      <w:r w:rsidR="003A7B84" w:rsidRPr="00B46E09">
        <w:t>,</w:t>
      </w:r>
      <w:r w:rsidRPr="00B46E09">
        <w:t xml:space="preserve"> FSANZ sought </w:t>
      </w:r>
      <w:r w:rsidR="003A7B84" w:rsidRPr="00B46E09">
        <w:t xml:space="preserve">submissions </w:t>
      </w:r>
      <w:r w:rsidR="00A671E6" w:rsidRPr="00B46E09">
        <w:t xml:space="preserve">on </w:t>
      </w:r>
      <w:r w:rsidR="00F526BD" w:rsidRPr="00B46E09">
        <w:t xml:space="preserve">a draft </w:t>
      </w:r>
      <w:r w:rsidR="00E30092" w:rsidRPr="00B46E09">
        <w:t xml:space="preserve">variation </w:t>
      </w:r>
      <w:r w:rsidR="003A7B84" w:rsidRPr="00B46E09">
        <w:t xml:space="preserve">and published an </w:t>
      </w:r>
      <w:r w:rsidR="00EC21DF" w:rsidRPr="00B46E09">
        <w:t>associated r</w:t>
      </w:r>
      <w:r w:rsidR="003A7B84" w:rsidRPr="00B46E09">
        <w:t>eport</w:t>
      </w:r>
      <w:r w:rsidRPr="00B46E09">
        <w:t>.</w:t>
      </w:r>
      <w:r w:rsidR="00F526BD" w:rsidRPr="00B46E09">
        <w:t xml:space="preserve"> FSANZ received </w:t>
      </w:r>
      <w:r w:rsidR="004E05DD" w:rsidRPr="00B46E09">
        <w:t>three</w:t>
      </w:r>
      <w:r w:rsidR="00F526BD" w:rsidRPr="00B46E09">
        <w:t xml:space="preserve"> submissions.</w:t>
      </w:r>
    </w:p>
    <w:p w14:paraId="6F926C97" w14:textId="77777777" w:rsidR="00CA5734" w:rsidRPr="00B46E09" w:rsidRDefault="00CA5734" w:rsidP="00CA5734"/>
    <w:p w14:paraId="5F5CD903" w14:textId="57763468" w:rsidR="00081B0A" w:rsidRPr="00B46E09" w:rsidRDefault="00081B0A" w:rsidP="00CA5734">
      <w:r w:rsidRPr="00B46E09">
        <w:t xml:space="preserve">FSANZ approved the draft </w:t>
      </w:r>
      <w:r w:rsidR="00E30092" w:rsidRPr="00B46E09">
        <w:t xml:space="preserve">variation </w:t>
      </w:r>
      <w:r w:rsidR="0012388D" w:rsidRPr="00B46E09">
        <w:t xml:space="preserve">on </w:t>
      </w:r>
      <w:r w:rsidR="00DB72B7" w:rsidRPr="00B46E09">
        <w:t>7 March 2022</w:t>
      </w:r>
      <w:r w:rsidRPr="00B46E09">
        <w:t xml:space="preserve">. </w:t>
      </w:r>
      <w:r w:rsidR="00752A3E" w:rsidRPr="00B46E09">
        <w:t xml:space="preserve">The Food Ministers’ Meeting (formerly the </w:t>
      </w:r>
      <w:r w:rsidR="00752A3E" w:rsidRPr="00B46E09">
        <w:rPr>
          <w:rFonts w:cs="Helvetica"/>
          <w:lang w:val="en-AU"/>
        </w:rPr>
        <w:t xml:space="preserve">Australia and New Zealand Ministerial Forum on Food </w:t>
      </w:r>
      <w:r w:rsidR="00752A3E" w:rsidRPr="00B46E09">
        <w:rPr>
          <w:rFonts w:cs="Arial"/>
        </w:rPr>
        <w:t>Regulation)</w:t>
      </w:r>
      <w:r w:rsidR="00752A3E" w:rsidRPr="00B46E09">
        <w:t xml:space="preserve"> was notified of FSANZ’s decision on </w:t>
      </w:r>
      <w:r w:rsidR="00DB72B7" w:rsidRPr="00B46E09">
        <w:t>21 March 2022</w:t>
      </w:r>
      <w:r w:rsidR="003A7B84" w:rsidRPr="00B46E09">
        <w:t>.</w:t>
      </w:r>
    </w:p>
    <w:p w14:paraId="07FE212F" w14:textId="77777777" w:rsidR="00CA5734" w:rsidRPr="00B46E09" w:rsidRDefault="00CA5734" w:rsidP="00CA5734"/>
    <w:p w14:paraId="3B4BBA6D" w14:textId="5D425105" w:rsidR="00081B0A" w:rsidRDefault="003A7B84" w:rsidP="00292B9B">
      <w:r>
        <w:t>This R</w:t>
      </w:r>
      <w:r w:rsidR="00B425AA">
        <w:t xml:space="preserve">eport is provided pursuant to </w:t>
      </w:r>
      <w:r w:rsidR="009A2699" w:rsidRPr="003530E3">
        <w:t>paragraph</w:t>
      </w:r>
      <w:r w:rsidR="00081B0A" w:rsidRPr="003530E3">
        <w:t xml:space="preserve"> 33(1)(b</w:t>
      </w:r>
      <w:r w:rsidR="00F33470" w:rsidRPr="003530E3">
        <w:t>)</w:t>
      </w:r>
      <w:r w:rsidR="00081B0A" w:rsidRPr="003530E3">
        <w:t xml:space="preserve"> </w:t>
      </w:r>
      <w:r w:rsidR="00081B0A">
        <w:t xml:space="preserve">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5"/>
          <w:footerReference w:type="default" r:id="rId16"/>
          <w:headerReference w:type="first" r:id="rId17"/>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5CAFD263" w14:textId="2FB8104B" w:rsidR="00DA5884"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93328359" w:history="1">
        <w:r w:rsidR="00DA5884" w:rsidRPr="00BC0AC5">
          <w:rPr>
            <w:rStyle w:val="Hyperlink"/>
            <w:noProof/>
          </w:rPr>
          <w:t>Executive summary</w:t>
        </w:r>
        <w:r w:rsidR="00DA5884">
          <w:rPr>
            <w:noProof/>
            <w:webHidden/>
          </w:rPr>
          <w:tab/>
        </w:r>
        <w:r w:rsidR="00DA5884">
          <w:rPr>
            <w:noProof/>
            <w:webHidden/>
          </w:rPr>
          <w:fldChar w:fldCharType="begin"/>
        </w:r>
        <w:r w:rsidR="00DA5884">
          <w:rPr>
            <w:noProof/>
            <w:webHidden/>
          </w:rPr>
          <w:instrText xml:space="preserve"> PAGEREF _Toc93328359 \h </w:instrText>
        </w:r>
        <w:r w:rsidR="00DA5884">
          <w:rPr>
            <w:noProof/>
            <w:webHidden/>
          </w:rPr>
        </w:r>
        <w:r w:rsidR="00DA5884">
          <w:rPr>
            <w:noProof/>
            <w:webHidden/>
          </w:rPr>
          <w:fldChar w:fldCharType="separate"/>
        </w:r>
        <w:r w:rsidR="00837FE2">
          <w:rPr>
            <w:noProof/>
            <w:webHidden/>
          </w:rPr>
          <w:t>2</w:t>
        </w:r>
        <w:r w:rsidR="00DA5884">
          <w:rPr>
            <w:noProof/>
            <w:webHidden/>
          </w:rPr>
          <w:fldChar w:fldCharType="end"/>
        </w:r>
      </w:hyperlink>
    </w:p>
    <w:p w14:paraId="602719DF" w14:textId="1AE84C33" w:rsidR="00DA5884" w:rsidRDefault="00837FE2">
      <w:pPr>
        <w:pStyle w:val="TOC1"/>
        <w:tabs>
          <w:tab w:val="left" w:pos="440"/>
          <w:tab w:val="right" w:leader="dot" w:pos="9060"/>
        </w:tabs>
        <w:rPr>
          <w:rFonts w:eastAsiaTheme="minorEastAsia" w:cstheme="minorBidi"/>
          <w:b w:val="0"/>
          <w:bCs w:val="0"/>
          <w:caps w:val="0"/>
          <w:noProof/>
          <w:sz w:val="22"/>
          <w:szCs w:val="22"/>
          <w:lang w:eastAsia="en-GB" w:bidi="ar-SA"/>
        </w:rPr>
      </w:pPr>
      <w:hyperlink w:anchor="_Toc93328360" w:history="1">
        <w:r w:rsidR="00DA5884" w:rsidRPr="00BC0AC5">
          <w:rPr>
            <w:rStyle w:val="Hyperlink"/>
            <w:noProof/>
          </w:rPr>
          <w:t>1</w:t>
        </w:r>
        <w:r w:rsidR="00DA5884">
          <w:rPr>
            <w:rFonts w:eastAsiaTheme="minorEastAsia" w:cstheme="minorBidi"/>
            <w:b w:val="0"/>
            <w:bCs w:val="0"/>
            <w:caps w:val="0"/>
            <w:noProof/>
            <w:sz w:val="22"/>
            <w:szCs w:val="22"/>
            <w:lang w:eastAsia="en-GB" w:bidi="ar-SA"/>
          </w:rPr>
          <w:tab/>
        </w:r>
        <w:r w:rsidR="00DA5884" w:rsidRPr="00BC0AC5">
          <w:rPr>
            <w:rStyle w:val="Hyperlink"/>
            <w:noProof/>
          </w:rPr>
          <w:t>Introduction</w:t>
        </w:r>
        <w:r w:rsidR="00DA5884">
          <w:rPr>
            <w:noProof/>
            <w:webHidden/>
          </w:rPr>
          <w:tab/>
        </w:r>
        <w:r w:rsidR="00DA5884">
          <w:rPr>
            <w:noProof/>
            <w:webHidden/>
          </w:rPr>
          <w:fldChar w:fldCharType="begin"/>
        </w:r>
        <w:r w:rsidR="00DA5884">
          <w:rPr>
            <w:noProof/>
            <w:webHidden/>
          </w:rPr>
          <w:instrText xml:space="preserve"> PAGEREF _Toc93328360 \h </w:instrText>
        </w:r>
        <w:r w:rsidR="00DA5884">
          <w:rPr>
            <w:noProof/>
            <w:webHidden/>
          </w:rPr>
        </w:r>
        <w:r w:rsidR="00DA5884">
          <w:rPr>
            <w:noProof/>
            <w:webHidden/>
          </w:rPr>
          <w:fldChar w:fldCharType="separate"/>
        </w:r>
        <w:r>
          <w:rPr>
            <w:noProof/>
            <w:webHidden/>
          </w:rPr>
          <w:t>3</w:t>
        </w:r>
        <w:r w:rsidR="00DA5884">
          <w:rPr>
            <w:noProof/>
            <w:webHidden/>
          </w:rPr>
          <w:fldChar w:fldCharType="end"/>
        </w:r>
      </w:hyperlink>
    </w:p>
    <w:p w14:paraId="57186E28" w14:textId="4D568123"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61" w:history="1">
        <w:r w:rsidR="00DA5884" w:rsidRPr="00BC0AC5">
          <w:rPr>
            <w:rStyle w:val="Hyperlink"/>
            <w:noProof/>
          </w:rPr>
          <w:t>1.1</w:t>
        </w:r>
        <w:r w:rsidR="00DA5884">
          <w:rPr>
            <w:rFonts w:eastAsiaTheme="minorEastAsia" w:cstheme="minorBidi"/>
            <w:smallCaps w:val="0"/>
            <w:noProof/>
            <w:sz w:val="22"/>
            <w:szCs w:val="22"/>
            <w:lang w:eastAsia="en-GB" w:bidi="ar-SA"/>
          </w:rPr>
          <w:tab/>
        </w:r>
        <w:r w:rsidR="00DA5884" w:rsidRPr="00BC0AC5">
          <w:rPr>
            <w:rStyle w:val="Hyperlink"/>
            <w:noProof/>
          </w:rPr>
          <w:t>The Applicant</w:t>
        </w:r>
        <w:r w:rsidR="00DA5884">
          <w:rPr>
            <w:noProof/>
            <w:webHidden/>
          </w:rPr>
          <w:tab/>
        </w:r>
        <w:r w:rsidR="00DA5884">
          <w:rPr>
            <w:noProof/>
            <w:webHidden/>
          </w:rPr>
          <w:fldChar w:fldCharType="begin"/>
        </w:r>
        <w:r w:rsidR="00DA5884">
          <w:rPr>
            <w:noProof/>
            <w:webHidden/>
          </w:rPr>
          <w:instrText xml:space="preserve"> PAGEREF _Toc93328361 \h </w:instrText>
        </w:r>
        <w:r w:rsidR="00DA5884">
          <w:rPr>
            <w:noProof/>
            <w:webHidden/>
          </w:rPr>
        </w:r>
        <w:r w:rsidR="00DA5884">
          <w:rPr>
            <w:noProof/>
            <w:webHidden/>
          </w:rPr>
          <w:fldChar w:fldCharType="separate"/>
        </w:r>
        <w:r>
          <w:rPr>
            <w:noProof/>
            <w:webHidden/>
          </w:rPr>
          <w:t>3</w:t>
        </w:r>
        <w:r w:rsidR="00DA5884">
          <w:rPr>
            <w:noProof/>
            <w:webHidden/>
          </w:rPr>
          <w:fldChar w:fldCharType="end"/>
        </w:r>
      </w:hyperlink>
    </w:p>
    <w:p w14:paraId="5F46CED1" w14:textId="7361F1CB"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62" w:history="1">
        <w:r w:rsidR="00DA5884" w:rsidRPr="00BC0AC5">
          <w:rPr>
            <w:rStyle w:val="Hyperlink"/>
            <w:noProof/>
          </w:rPr>
          <w:t>1.2</w:t>
        </w:r>
        <w:r w:rsidR="00DA5884">
          <w:rPr>
            <w:rFonts w:eastAsiaTheme="minorEastAsia" w:cstheme="minorBidi"/>
            <w:smallCaps w:val="0"/>
            <w:noProof/>
            <w:sz w:val="22"/>
            <w:szCs w:val="22"/>
            <w:lang w:eastAsia="en-GB" w:bidi="ar-SA"/>
          </w:rPr>
          <w:tab/>
        </w:r>
        <w:r w:rsidR="00DA5884" w:rsidRPr="00BC0AC5">
          <w:rPr>
            <w:rStyle w:val="Hyperlink"/>
            <w:noProof/>
          </w:rPr>
          <w:t>The application</w:t>
        </w:r>
        <w:r w:rsidR="00DA5884">
          <w:rPr>
            <w:noProof/>
            <w:webHidden/>
          </w:rPr>
          <w:tab/>
        </w:r>
        <w:r w:rsidR="00DA5884">
          <w:rPr>
            <w:noProof/>
            <w:webHidden/>
          </w:rPr>
          <w:fldChar w:fldCharType="begin"/>
        </w:r>
        <w:r w:rsidR="00DA5884">
          <w:rPr>
            <w:noProof/>
            <w:webHidden/>
          </w:rPr>
          <w:instrText xml:space="preserve"> PAGEREF _Toc93328362 \h </w:instrText>
        </w:r>
        <w:r w:rsidR="00DA5884">
          <w:rPr>
            <w:noProof/>
            <w:webHidden/>
          </w:rPr>
        </w:r>
        <w:r w:rsidR="00DA5884">
          <w:rPr>
            <w:noProof/>
            <w:webHidden/>
          </w:rPr>
          <w:fldChar w:fldCharType="separate"/>
        </w:r>
        <w:r>
          <w:rPr>
            <w:noProof/>
            <w:webHidden/>
          </w:rPr>
          <w:t>3</w:t>
        </w:r>
        <w:r w:rsidR="00DA5884">
          <w:rPr>
            <w:noProof/>
            <w:webHidden/>
          </w:rPr>
          <w:fldChar w:fldCharType="end"/>
        </w:r>
      </w:hyperlink>
    </w:p>
    <w:p w14:paraId="3A792369" w14:textId="1F05F28C"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63" w:history="1">
        <w:r w:rsidR="00DA5884" w:rsidRPr="00BC0AC5">
          <w:rPr>
            <w:rStyle w:val="Hyperlink"/>
            <w:noProof/>
          </w:rPr>
          <w:t>1.3</w:t>
        </w:r>
        <w:r w:rsidR="00DA5884">
          <w:rPr>
            <w:rFonts w:eastAsiaTheme="minorEastAsia" w:cstheme="minorBidi"/>
            <w:smallCaps w:val="0"/>
            <w:noProof/>
            <w:sz w:val="22"/>
            <w:szCs w:val="22"/>
            <w:lang w:eastAsia="en-GB" w:bidi="ar-SA"/>
          </w:rPr>
          <w:tab/>
        </w:r>
        <w:r w:rsidR="00DA5884" w:rsidRPr="00BC0AC5">
          <w:rPr>
            <w:rStyle w:val="Hyperlink"/>
            <w:noProof/>
          </w:rPr>
          <w:t>The current Standard</w:t>
        </w:r>
        <w:r w:rsidR="00DA5884">
          <w:rPr>
            <w:noProof/>
            <w:webHidden/>
          </w:rPr>
          <w:tab/>
        </w:r>
        <w:r w:rsidR="00DA5884">
          <w:rPr>
            <w:noProof/>
            <w:webHidden/>
          </w:rPr>
          <w:fldChar w:fldCharType="begin"/>
        </w:r>
        <w:r w:rsidR="00DA5884">
          <w:rPr>
            <w:noProof/>
            <w:webHidden/>
          </w:rPr>
          <w:instrText xml:space="preserve"> PAGEREF _Toc93328363 \h </w:instrText>
        </w:r>
        <w:r w:rsidR="00DA5884">
          <w:rPr>
            <w:noProof/>
            <w:webHidden/>
          </w:rPr>
        </w:r>
        <w:r w:rsidR="00DA5884">
          <w:rPr>
            <w:noProof/>
            <w:webHidden/>
          </w:rPr>
          <w:fldChar w:fldCharType="separate"/>
        </w:r>
        <w:r>
          <w:rPr>
            <w:noProof/>
            <w:webHidden/>
          </w:rPr>
          <w:t>3</w:t>
        </w:r>
        <w:r w:rsidR="00DA5884">
          <w:rPr>
            <w:noProof/>
            <w:webHidden/>
          </w:rPr>
          <w:fldChar w:fldCharType="end"/>
        </w:r>
      </w:hyperlink>
    </w:p>
    <w:p w14:paraId="545033CF" w14:textId="467E6A62"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64" w:history="1">
        <w:r w:rsidR="00DA5884" w:rsidRPr="00BC0AC5">
          <w:rPr>
            <w:rStyle w:val="Hyperlink"/>
            <w:noProof/>
            <w:u w:color="FFFF00"/>
          </w:rPr>
          <w:t>1.4</w:t>
        </w:r>
        <w:r w:rsidR="00DA5884">
          <w:rPr>
            <w:rFonts w:eastAsiaTheme="minorEastAsia" w:cstheme="minorBidi"/>
            <w:smallCaps w:val="0"/>
            <w:noProof/>
            <w:sz w:val="22"/>
            <w:szCs w:val="22"/>
            <w:lang w:eastAsia="en-GB" w:bidi="ar-SA"/>
          </w:rPr>
          <w:tab/>
        </w:r>
        <w:r w:rsidR="00DA5884" w:rsidRPr="00BC0AC5">
          <w:rPr>
            <w:rStyle w:val="Hyperlink"/>
            <w:noProof/>
            <w:u w:color="FFFF00"/>
          </w:rPr>
          <w:t>Reasons for accepting application</w:t>
        </w:r>
        <w:r w:rsidR="00DA5884">
          <w:rPr>
            <w:noProof/>
            <w:webHidden/>
          </w:rPr>
          <w:tab/>
        </w:r>
        <w:r w:rsidR="00DA5884">
          <w:rPr>
            <w:noProof/>
            <w:webHidden/>
          </w:rPr>
          <w:fldChar w:fldCharType="begin"/>
        </w:r>
        <w:r w:rsidR="00DA5884">
          <w:rPr>
            <w:noProof/>
            <w:webHidden/>
          </w:rPr>
          <w:instrText xml:space="preserve"> PAGEREF _Toc93328364 \h </w:instrText>
        </w:r>
        <w:r w:rsidR="00DA5884">
          <w:rPr>
            <w:noProof/>
            <w:webHidden/>
          </w:rPr>
        </w:r>
        <w:r w:rsidR="00DA5884">
          <w:rPr>
            <w:noProof/>
            <w:webHidden/>
          </w:rPr>
          <w:fldChar w:fldCharType="separate"/>
        </w:r>
        <w:r>
          <w:rPr>
            <w:noProof/>
            <w:webHidden/>
          </w:rPr>
          <w:t>5</w:t>
        </w:r>
        <w:r w:rsidR="00DA5884">
          <w:rPr>
            <w:noProof/>
            <w:webHidden/>
          </w:rPr>
          <w:fldChar w:fldCharType="end"/>
        </w:r>
      </w:hyperlink>
    </w:p>
    <w:p w14:paraId="23E05CAD" w14:textId="4FBB0B6B"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65" w:history="1">
        <w:r w:rsidR="00DA5884" w:rsidRPr="00BC0AC5">
          <w:rPr>
            <w:rStyle w:val="Hyperlink"/>
            <w:noProof/>
          </w:rPr>
          <w:t>1.5</w:t>
        </w:r>
        <w:r w:rsidR="00DA5884">
          <w:rPr>
            <w:rFonts w:eastAsiaTheme="minorEastAsia" w:cstheme="minorBidi"/>
            <w:smallCaps w:val="0"/>
            <w:noProof/>
            <w:sz w:val="22"/>
            <w:szCs w:val="22"/>
            <w:lang w:eastAsia="en-GB" w:bidi="ar-SA"/>
          </w:rPr>
          <w:tab/>
        </w:r>
        <w:r w:rsidR="00DA5884" w:rsidRPr="00BC0AC5">
          <w:rPr>
            <w:rStyle w:val="Hyperlink"/>
            <w:noProof/>
          </w:rPr>
          <w:t>Procedure for assessment</w:t>
        </w:r>
        <w:r w:rsidR="00DA5884">
          <w:rPr>
            <w:noProof/>
            <w:webHidden/>
          </w:rPr>
          <w:tab/>
        </w:r>
        <w:r w:rsidR="00DA5884">
          <w:rPr>
            <w:noProof/>
            <w:webHidden/>
          </w:rPr>
          <w:fldChar w:fldCharType="begin"/>
        </w:r>
        <w:r w:rsidR="00DA5884">
          <w:rPr>
            <w:noProof/>
            <w:webHidden/>
          </w:rPr>
          <w:instrText xml:space="preserve"> PAGEREF _Toc93328365 \h </w:instrText>
        </w:r>
        <w:r w:rsidR="00DA5884">
          <w:rPr>
            <w:noProof/>
            <w:webHidden/>
          </w:rPr>
        </w:r>
        <w:r w:rsidR="00DA5884">
          <w:rPr>
            <w:noProof/>
            <w:webHidden/>
          </w:rPr>
          <w:fldChar w:fldCharType="separate"/>
        </w:r>
        <w:r>
          <w:rPr>
            <w:noProof/>
            <w:webHidden/>
          </w:rPr>
          <w:t>5</w:t>
        </w:r>
        <w:r w:rsidR="00DA5884">
          <w:rPr>
            <w:noProof/>
            <w:webHidden/>
          </w:rPr>
          <w:fldChar w:fldCharType="end"/>
        </w:r>
      </w:hyperlink>
    </w:p>
    <w:p w14:paraId="71500F78" w14:textId="24E4CC84"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66" w:history="1">
        <w:r w:rsidR="00DA5884" w:rsidRPr="00BC0AC5">
          <w:rPr>
            <w:rStyle w:val="Hyperlink"/>
            <w:noProof/>
          </w:rPr>
          <w:t>1.6</w:t>
        </w:r>
        <w:r w:rsidR="00DA5884">
          <w:rPr>
            <w:rFonts w:eastAsiaTheme="minorEastAsia" w:cstheme="minorBidi"/>
            <w:smallCaps w:val="0"/>
            <w:noProof/>
            <w:sz w:val="22"/>
            <w:szCs w:val="22"/>
            <w:lang w:eastAsia="en-GB" w:bidi="ar-SA"/>
          </w:rPr>
          <w:tab/>
        </w:r>
        <w:r w:rsidR="00DA5884" w:rsidRPr="00BC0AC5">
          <w:rPr>
            <w:rStyle w:val="Hyperlink"/>
            <w:noProof/>
          </w:rPr>
          <w:t>Decision</w:t>
        </w:r>
        <w:r w:rsidR="00DA5884">
          <w:rPr>
            <w:noProof/>
            <w:webHidden/>
          </w:rPr>
          <w:tab/>
        </w:r>
        <w:r w:rsidR="00DA5884">
          <w:rPr>
            <w:noProof/>
            <w:webHidden/>
          </w:rPr>
          <w:fldChar w:fldCharType="begin"/>
        </w:r>
        <w:r w:rsidR="00DA5884">
          <w:rPr>
            <w:noProof/>
            <w:webHidden/>
          </w:rPr>
          <w:instrText xml:space="preserve"> PAGEREF _Toc93328366 \h </w:instrText>
        </w:r>
        <w:r w:rsidR="00DA5884">
          <w:rPr>
            <w:noProof/>
            <w:webHidden/>
          </w:rPr>
        </w:r>
        <w:r w:rsidR="00DA5884">
          <w:rPr>
            <w:noProof/>
            <w:webHidden/>
          </w:rPr>
          <w:fldChar w:fldCharType="separate"/>
        </w:r>
        <w:r>
          <w:rPr>
            <w:noProof/>
            <w:webHidden/>
          </w:rPr>
          <w:t>5</w:t>
        </w:r>
        <w:r w:rsidR="00DA5884">
          <w:rPr>
            <w:noProof/>
            <w:webHidden/>
          </w:rPr>
          <w:fldChar w:fldCharType="end"/>
        </w:r>
      </w:hyperlink>
    </w:p>
    <w:p w14:paraId="276E5865" w14:textId="5F12E121" w:rsidR="00DA5884" w:rsidRDefault="00837FE2">
      <w:pPr>
        <w:pStyle w:val="TOC1"/>
        <w:tabs>
          <w:tab w:val="left" w:pos="440"/>
          <w:tab w:val="right" w:leader="dot" w:pos="9060"/>
        </w:tabs>
        <w:rPr>
          <w:rFonts w:eastAsiaTheme="minorEastAsia" w:cstheme="minorBidi"/>
          <w:b w:val="0"/>
          <w:bCs w:val="0"/>
          <w:caps w:val="0"/>
          <w:noProof/>
          <w:sz w:val="22"/>
          <w:szCs w:val="22"/>
          <w:lang w:eastAsia="en-GB" w:bidi="ar-SA"/>
        </w:rPr>
      </w:pPr>
      <w:hyperlink w:anchor="_Toc93328367" w:history="1">
        <w:r w:rsidR="00DA5884" w:rsidRPr="00BC0AC5">
          <w:rPr>
            <w:rStyle w:val="Hyperlink"/>
            <w:noProof/>
          </w:rPr>
          <w:t>2</w:t>
        </w:r>
        <w:r w:rsidR="00DA5884">
          <w:rPr>
            <w:rFonts w:eastAsiaTheme="minorEastAsia" w:cstheme="minorBidi"/>
            <w:b w:val="0"/>
            <w:bCs w:val="0"/>
            <w:caps w:val="0"/>
            <w:noProof/>
            <w:sz w:val="22"/>
            <w:szCs w:val="22"/>
            <w:lang w:eastAsia="en-GB" w:bidi="ar-SA"/>
          </w:rPr>
          <w:tab/>
        </w:r>
        <w:r w:rsidR="00DA5884" w:rsidRPr="00BC0AC5">
          <w:rPr>
            <w:rStyle w:val="Hyperlink"/>
            <w:noProof/>
          </w:rPr>
          <w:t xml:space="preserve">Summary </w:t>
        </w:r>
        <w:r w:rsidR="00DA5884" w:rsidRPr="00BC0AC5">
          <w:rPr>
            <w:rStyle w:val="Hyperlink"/>
            <w:noProof/>
            <w:u w:color="FFFF00"/>
          </w:rPr>
          <w:t>of</w:t>
        </w:r>
        <w:r w:rsidR="00DA5884" w:rsidRPr="00BC0AC5">
          <w:rPr>
            <w:rStyle w:val="Hyperlink"/>
            <w:noProof/>
          </w:rPr>
          <w:t xml:space="preserve"> the findings</w:t>
        </w:r>
        <w:r w:rsidR="00DA5884">
          <w:rPr>
            <w:noProof/>
            <w:webHidden/>
          </w:rPr>
          <w:tab/>
        </w:r>
        <w:r w:rsidR="00DA5884">
          <w:rPr>
            <w:noProof/>
            <w:webHidden/>
          </w:rPr>
          <w:fldChar w:fldCharType="begin"/>
        </w:r>
        <w:r w:rsidR="00DA5884">
          <w:rPr>
            <w:noProof/>
            <w:webHidden/>
          </w:rPr>
          <w:instrText xml:space="preserve"> PAGEREF _Toc93328367 \h </w:instrText>
        </w:r>
        <w:r w:rsidR="00DA5884">
          <w:rPr>
            <w:noProof/>
            <w:webHidden/>
          </w:rPr>
        </w:r>
        <w:r w:rsidR="00DA5884">
          <w:rPr>
            <w:noProof/>
            <w:webHidden/>
          </w:rPr>
          <w:fldChar w:fldCharType="separate"/>
        </w:r>
        <w:r>
          <w:rPr>
            <w:noProof/>
            <w:webHidden/>
          </w:rPr>
          <w:t>6</w:t>
        </w:r>
        <w:r w:rsidR="00DA5884">
          <w:rPr>
            <w:noProof/>
            <w:webHidden/>
          </w:rPr>
          <w:fldChar w:fldCharType="end"/>
        </w:r>
      </w:hyperlink>
    </w:p>
    <w:p w14:paraId="4F41E073" w14:textId="0E104C83"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68" w:history="1">
        <w:r w:rsidR="00DA5884" w:rsidRPr="00BC0AC5">
          <w:rPr>
            <w:rStyle w:val="Hyperlink"/>
            <w:noProof/>
          </w:rPr>
          <w:t>2.1</w:t>
        </w:r>
        <w:r w:rsidR="00DA5884">
          <w:rPr>
            <w:rFonts w:eastAsiaTheme="minorEastAsia" w:cstheme="minorBidi"/>
            <w:smallCaps w:val="0"/>
            <w:noProof/>
            <w:sz w:val="22"/>
            <w:szCs w:val="22"/>
            <w:lang w:eastAsia="en-GB" w:bidi="ar-SA"/>
          </w:rPr>
          <w:tab/>
        </w:r>
        <w:r w:rsidR="00DA5884" w:rsidRPr="00BC0AC5">
          <w:rPr>
            <w:rStyle w:val="Hyperlink"/>
            <w:noProof/>
          </w:rPr>
          <w:t>Summary of issues raised in submissions</w:t>
        </w:r>
        <w:r w:rsidR="00DA5884">
          <w:rPr>
            <w:noProof/>
            <w:webHidden/>
          </w:rPr>
          <w:tab/>
        </w:r>
        <w:r w:rsidR="00DA5884">
          <w:rPr>
            <w:noProof/>
            <w:webHidden/>
          </w:rPr>
          <w:fldChar w:fldCharType="begin"/>
        </w:r>
        <w:r w:rsidR="00DA5884">
          <w:rPr>
            <w:noProof/>
            <w:webHidden/>
          </w:rPr>
          <w:instrText xml:space="preserve"> PAGEREF _Toc93328368 \h </w:instrText>
        </w:r>
        <w:r w:rsidR="00DA5884">
          <w:rPr>
            <w:noProof/>
            <w:webHidden/>
          </w:rPr>
        </w:r>
        <w:r w:rsidR="00DA5884">
          <w:rPr>
            <w:noProof/>
            <w:webHidden/>
          </w:rPr>
          <w:fldChar w:fldCharType="separate"/>
        </w:r>
        <w:r>
          <w:rPr>
            <w:noProof/>
            <w:webHidden/>
          </w:rPr>
          <w:t>6</w:t>
        </w:r>
        <w:r w:rsidR="00DA5884">
          <w:rPr>
            <w:noProof/>
            <w:webHidden/>
          </w:rPr>
          <w:fldChar w:fldCharType="end"/>
        </w:r>
      </w:hyperlink>
    </w:p>
    <w:p w14:paraId="2D4C79BD" w14:textId="0B1FD629"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69" w:history="1">
        <w:r w:rsidR="00DA5884" w:rsidRPr="00BC0AC5">
          <w:rPr>
            <w:rStyle w:val="Hyperlink"/>
            <w:noProof/>
          </w:rPr>
          <w:t>2.2</w:t>
        </w:r>
        <w:r w:rsidR="00DA5884">
          <w:rPr>
            <w:rFonts w:eastAsiaTheme="minorEastAsia" w:cstheme="minorBidi"/>
            <w:smallCaps w:val="0"/>
            <w:noProof/>
            <w:sz w:val="22"/>
            <w:szCs w:val="22"/>
            <w:lang w:eastAsia="en-GB" w:bidi="ar-SA"/>
          </w:rPr>
          <w:tab/>
        </w:r>
        <w:r w:rsidR="00DA5884" w:rsidRPr="00BC0AC5">
          <w:rPr>
            <w:rStyle w:val="Hyperlink"/>
            <w:noProof/>
          </w:rPr>
          <w:t>Risk assessment</w:t>
        </w:r>
        <w:r w:rsidR="00DA5884">
          <w:rPr>
            <w:noProof/>
            <w:webHidden/>
          </w:rPr>
          <w:tab/>
        </w:r>
        <w:r w:rsidR="00DA5884">
          <w:rPr>
            <w:noProof/>
            <w:webHidden/>
          </w:rPr>
          <w:fldChar w:fldCharType="begin"/>
        </w:r>
        <w:r w:rsidR="00DA5884">
          <w:rPr>
            <w:noProof/>
            <w:webHidden/>
          </w:rPr>
          <w:instrText xml:space="preserve"> PAGEREF _Toc93328369 \h </w:instrText>
        </w:r>
        <w:r w:rsidR="00DA5884">
          <w:rPr>
            <w:noProof/>
            <w:webHidden/>
          </w:rPr>
        </w:r>
        <w:r w:rsidR="00DA5884">
          <w:rPr>
            <w:noProof/>
            <w:webHidden/>
          </w:rPr>
          <w:fldChar w:fldCharType="separate"/>
        </w:r>
        <w:r>
          <w:rPr>
            <w:noProof/>
            <w:webHidden/>
          </w:rPr>
          <w:t>6</w:t>
        </w:r>
        <w:r w:rsidR="00DA5884">
          <w:rPr>
            <w:noProof/>
            <w:webHidden/>
          </w:rPr>
          <w:fldChar w:fldCharType="end"/>
        </w:r>
      </w:hyperlink>
    </w:p>
    <w:p w14:paraId="69E718F5" w14:textId="22DB5960"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70" w:history="1">
        <w:r w:rsidR="00DA5884" w:rsidRPr="00BC0AC5">
          <w:rPr>
            <w:rStyle w:val="Hyperlink"/>
            <w:noProof/>
          </w:rPr>
          <w:t>2.3</w:t>
        </w:r>
        <w:r w:rsidR="00DA5884">
          <w:rPr>
            <w:rFonts w:eastAsiaTheme="minorEastAsia" w:cstheme="minorBidi"/>
            <w:smallCaps w:val="0"/>
            <w:noProof/>
            <w:sz w:val="22"/>
            <w:szCs w:val="22"/>
            <w:lang w:eastAsia="en-GB" w:bidi="ar-SA"/>
          </w:rPr>
          <w:tab/>
        </w:r>
        <w:r w:rsidR="00DA5884" w:rsidRPr="00BC0AC5">
          <w:rPr>
            <w:rStyle w:val="Hyperlink"/>
            <w:noProof/>
          </w:rPr>
          <w:t>Risk management</w:t>
        </w:r>
        <w:r w:rsidR="00DA5884">
          <w:rPr>
            <w:noProof/>
            <w:webHidden/>
          </w:rPr>
          <w:tab/>
        </w:r>
        <w:r w:rsidR="00DA5884">
          <w:rPr>
            <w:noProof/>
            <w:webHidden/>
          </w:rPr>
          <w:fldChar w:fldCharType="begin"/>
        </w:r>
        <w:r w:rsidR="00DA5884">
          <w:rPr>
            <w:noProof/>
            <w:webHidden/>
          </w:rPr>
          <w:instrText xml:space="preserve"> PAGEREF _Toc93328370 \h </w:instrText>
        </w:r>
        <w:r w:rsidR="00DA5884">
          <w:rPr>
            <w:noProof/>
            <w:webHidden/>
          </w:rPr>
        </w:r>
        <w:r w:rsidR="00DA5884">
          <w:rPr>
            <w:noProof/>
            <w:webHidden/>
          </w:rPr>
          <w:fldChar w:fldCharType="separate"/>
        </w:r>
        <w:r>
          <w:rPr>
            <w:noProof/>
            <w:webHidden/>
          </w:rPr>
          <w:t>7</w:t>
        </w:r>
        <w:r w:rsidR="00DA5884">
          <w:rPr>
            <w:noProof/>
            <w:webHidden/>
          </w:rPr>
          <w:fldChar w:fldCharType="end"/>
        </w:r>
      </w:hyperlink>
    </w:p>
    <w:p w14:paraId="61B54BEA" w14:textId="34926EC6"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71" w:history="1">
        <w:r w:rsidR="00DA5884" w:rsidRPr="00BC0AC5">
          <w:rPr>
            <w:rStyle w:val="Hyperlink"/>
            <w:noProof/>
          </w:rPr>
          <w:t>2.4</w:t>
        </w:r>
        <w:r w:rsidR="00DA5884">
          <w:rPr>
            <w:rFonts w:eastAsiaTheme="minorEastAsia" w:cstheme="minorBidi"/>
            <w:smallCaps w:val="0"/>
            <w:noProof/>
            <w:sz w:val="22"/>
            <w:szCs w:val="22"/>
            <w:lang w:eastAsia="en-GB" w:bidi="ar-SA"/>
          </w:rPr>
          <w:tab/>
        </w:r>
        <w:r w:rsidR="00DA5884" w:rsidRPr="00BC0AC5">
          <w:rPr>
            <w:rStyle w:val="Hyperlink"/>
            <w:noProof/>
          </w:rPr>
          <w:t>Risk communication</w:t>
        </w:r>
        <w:r w:rsidR="00DA5884">
          <w:rPr>
            <w:noProof/>
            <w:webHidden/>
          </w:rPr>
          <w:tab/>
        </w:r>
        <w:r w:rsidR="00DA5884">
          <w:rPr>
            <w:noProof/>
            <w:webHidden/>
          </w:rPr>
          <w:fldChar w:fldCharType="begin"/>
        </w:r>
        <w:r w:rsidR="00DA5884">
          <w:rPr>
            <w:noProof/>
            <w:webHidden/>
          </w:rPr>
          <w:instrText xml:space="preserve"> PAGEREF _Toc93328371 \h </w:instrText>
        </w:r>
        <w:r w:rsidR="00DA5884">
          <w:rPr>
            <w:noProof/>
            <w:webHidden/>
          </w:rPr>
        </w:r>
        <w:r w:rsidR="00DA5884">
          <w:rPr>
            <w:noProof/>
            <w:webHidden/>
          </w:rPr>
          <w:fldChar w:fldCharType="separate"/>
        </w:r>
        <w:r>
          <w:rPr>
            <w:noProof/>
            <w:webHidden/>
          </w:rPr>
          <w:t>9</w:t>
        </w:r>
        <w:r w:rsidR="00DA5884">
          <w:rPr>
            <w:noProof/>
            <w:webHidden/>
          </w:rPr>
          <w:fldChar w:fldCharType="end"/>
        </w:r>
      </w:hyperlink>
    </w:p>
    <w:p w14:paraId="032E32D8" w14:textId="3D83467F" w:rsidR="00DA5884" w:rsidRDefault="00837FE2">
      <w:pPr>
        <w:pStyle w:val="TOC3"/>
        <w:tabs>
          <w:tab w:val="left" w:pos="1100"/>
          <w:tab w:val="right" w:leader="dot" w:pos="9060"/>
        </w:tabs>
        <w:rPr>
          <w:rFonts w:eastAsiaTheme="minorEastAsia" w:cstheme="minorBidi"/>
          <w:i w:val="0"/>
          <w:iCs w:val="0"/>
          <w:noProof/>
          <w:sz w:val="22"/>
          <w:szCs w:val="22"/>
          <w:lang w:eastAsia="en-GB" w:bidi="ar-SA"/>
        </w:rPr>
      </w:pPr>
      <w:hyperlink w:anchor="_Toc93328372" w:history="1">
        <w:r w:rsidR="00DA5884" w:rsidRPr="00BC0AC5">
          <w:rPr>
            <w:rStyle w:val="Hyperlink"/>
            <w:noProof/>
          </w:rPr>
          <w:t>2.4.1</w:t>
        </w:r>
        <w:r w:rsidR="00DA5884">
          <w:rPr>
            <w:rFonts w:eastAsiaTheme="minorEastAsia" w:cstheme="minorBidi"/>
            <w:i w:val="0"/>
            <w:iCs w:val="0"/>
            <w:noProof/>
            <w:sz w:val="22"/>
            <w:szCs w:val="22"/>
            <w:lang w:eastAsia="en-GB" w:bidi="ar-SA"/>
          </w:rPr>
          <w:tab/>
        </w:r>
        <w:r w:rsidR="00DA5884" w:rsidRPr="00BC0AC5">
          <w:rPr>
            <w:rStyle w:val="Hyperlink"/>
            <w:noProof/>
          </w:rPr>
          <w:t>Consultation</w:t>
        </w:r>
        <w:r w:rsidR="00DA5884">
          <w:rPr>
            <w:noProof/>
            <w:webHidden/>
          </w:rPr>
          <w:tab/>
        </w:r>
        <w:r w:rsidR="00DA5884">
          <w:rPr>
            <w:noProof/>
            <w:webHidden/>
          </w:rPr>
          <w:fldChar w:fldCharType="begin"/>
        </w:r>
        <w:r w:rsidR="00DA5884">
          <w:rPr>
            <w:noProof/>
            <w:webHidden/>
          </w:rPr>
          <w:instrText xml:space="preserve"> PAGEREF _Toc93328372 \h </w:instrText>
        </w:r>
        <w:r w:rsidR="00DA5884">
          <w:rPr>
            <w:noProof/>
            <w:webHidden/>
          </w:rPr>
        </w:r>
        <w:r w:rsidR="00DA5884">
          <w:rPr>
            <w:noProof/>
            <w:webHidden/>
          </w:rPr>
          <w:fldChar w:fldCharType="separate"/>
        </w:r>
        <w:r>
          <w:rPr>
            <w:noProof/>
            <w:webHidden/>
          </w:rPr>
          <w:t>9</w:t>
        </w:r>
        <w:r w:rsidR="00DA5884">
          <w:rPr>
            <w:noProof/>
            <w:webHidden/>
          </w:rPr>
          <w:fldChar w:fldCharType="end"/>
        </w:r>
      </w:hyperlink>
    </w:p>
    <w:p w14:paraId="1E612BFD" w14:textId="2317EE0B" w:rsidR="00DA5884" w:rsidRDefault="00837FE2">
      <w:pPr>
        <w:pStyle w:val="TOC2"/>
        <w:tabs>
          <w:tab w:val="left" w:pos="880"/>
          <w:tab w:val="right" w:leader="dot" w:pos="9060"/>
        </w:tabs>
        <w:rPr>
          <w:rFonts w:eastAsiaTheme="minorEastAsia" w:cstheme="minorBidi"/>
          <w:smallCaps w:val="0"/>
          <w:noProof/>
          <w:sz w:val="22"/>
          <w:szCs w:val="22"/>
          <w:lang w:eastAsia="en-GB" w:bidi="ar-SA"/>
        </w:rPr>
      </w:pPr>
      <w:hyperlink w:anchor="_Toc93328373" w:history="1">
        <w:r w:rsidR="00DA5884" w:rsidRPr="00BC0AC5">
          <w:rPr>
            <w:rStyle w:val="Hyperlink"/>
            <w:noProof/>
          </w:rPr>
          <w:t>2.5</w:t>
        </w:r>
        <w:r w:rsidR="00DA5884">
          <w:rPr>
            <w:rFonts w:eastAsiaTheme="minorEastAsia" w:cstheme="minorBidi"/>
            <w:smallCaps w:val="0"/>
            <w:noProof/>
            <w:sz w:val="22"/>
            <w:szCs w:val="22"/>
            <w:lang w:eastAsia="en-GB" w:bidi="ar-SA"/>
          </w:rPr>
          <w:tab/>
        </w:r>
        <w:r w:rsidR="00DA5884" w:rsidRPr="00BC0AC5">
          <w:rPr>
            <w:rStyle w:val="Hyperlink"/>
            <w:noProof/>
          </w:rPr>
          <w:t>FSANZ Act assessment requirements</w:t>
        </w:r>
        <w:r w:rsidR="00DA5884">
          <w:rPr>
            <w:noProof/>
            <w:webHidden/>
          </w:rPr>
          <w:tab/>
        </w:r>
        <w:r w:rsidR="00DA5884">
          <w:rPr>
            <w:noProof/>
            <w:webHidden/>
          </w:rPr>
          <w:fldChar w:fldCharType="begin"/>
        </w:r>
        <w:r w:rsidR="00DA5884">
          <w:rPr>
            <w:noProof/>
            <w:webHidden/>
          </w:rPr>
          <w:instrText xml:space="preserve"> PAGEREF _Toc93328373 \h </w:instrText>
        </w:r>
        <w:r w:rsidR="00DA5884">
          <w:rPr>
            <w:noProof/>
            <w:webHidden/>
          </w:rPr>
        </w:r>
        <w:r w:rsidR="00DA5884">
          <w:rPr>
            <w:noProof/>
            <w:webHidden/>
          </w:rPr>
          <w:fldChar w:fldCharType="separate"/>
        </w:r>
        <w:r>
          <w:rPr>
            <w:noProof/>
            <w:webHidden/>
          </w:rPr>
          <w:t>9</w:t>
        </w:r>
        <w:r w:rsidR="00DA5884">
          <w:rPr>
            <w:noProof/>
            <w:webHidden/>
          </w:rPr>
          <w:fldChar w:fldCharType="end"/>
        </w:r>
      </w:hyperlink>
    </w:p>
    <w:p w14:paraId="10E14023" w14:textId="5FC2704F" w:rsidR="00DA5884" w:rsidRDefault="00837FE2">
      <w:pPr>
        <w:pStyle w:val="TOC3"/>
        <w:tabs>
          <w:tab w:val="left" w:pos="1100"/>
          <w:tab w:val="right" w:leader="dot" w:pos="9060"/>
        </w:tabs>
        <w:rPr>
          <w:rFonts w:eastAsiaTheme="minorEastAsia" w:cstheme="minorBidi"/>
          <w:i w:val="0"/>
          <w:iCs w:val="0"/>
          <w:noProof/>
          <w:sz w:val="22"/>
          <w:szCs w:val="22"/>
          <w:lang w:eastAsia="en-GB" w:bidi="ar-SA"/>
        </w:rPr>
      </w:pPr>
      <w:hyperlink w:anchor="_Toc93328374" w:history="1">
        <w:r w:rsidR="00DA5884" w:rsidRPr="00BC0AC5">
          <w:rPr>
            <w:rStyle w:val="Hyperlink"/>
            <w:noProof/>
          </w:rPr>
          <w:t>2.5.1</w:t>
        </w:r>
        <w:r w:rsidR="00DA5884">
          <w:rPr>
            <w:rFonts w:eastAsiaTheme="minorEastAsia" w:cstheme="minorBidi"/>
            <w:i w:val="0"/>
            <w:iCs w:val="0"/>
            <w:noProof/>
            <w:sz w:val="22"/>
            <w:szCs w:val="22"/>
            <w:lang w:eastAsia="en-GB" w:bidi="ar-SA"/>
          </w:rPr>
          <w:tab/>
        </w:r>
        <w:r w:rsidR="00DA5884" w:rsidRPr="00BC0AC5">
          <w:rPr>
            <w:rStyle w:val="Hyperlink"/>
            <w:noProof/>
          </w:rPr>
          <w:t>Section 29</w:t>
        </w:r>
        <w:r w:rsidR="00DA5884">
          <w:rPr>
            <w:noProof/>
            <w:webHidden/>
          </w:rPr>
          <w:tab/>
        </w:r>
        <w:r w:rsidR="00DA5884">
          <w:rPr>
            <w:noProof/>
            <w:webHidden/>
          </w:rPr>
          <w:fldChar w:fldCharType="begin"/>
        </w:r>
        <w:r w:rsidR="00DA5884">
          <w:rPr>
            <w:noProof/>
            <w:webHidden/>
          </w:rPr>
          <w:instrText xml:space="preserve"> PAGEREF _Toc93328374 \h </w:instrText>
        </w:r>
        <w:r w:rsidR="00DA5884">
          <w:rPr>
            <w:noProof/>
            <w:webHidden/>
          </w:rPr>
        </w:r>
        <w:r w:rsidR="00DA5884">
          <w:rPr>
            <w:noProof/>
            <w:webHidden/>
          </w:rPr>
          <w:fldChar w:fldCharType="separate"/>
        </w:r>
        <w:r>
          <w:rPr>
            <w:noProof/>
            <w:webHidden/>
          </w:rPr>
          <w:t>9</w:t>
        </w:r>
        <w:r w:rsidR="00DA5884">
          <w:rPr>
            <w:noProof/>
            <w:webHidden/>
          </w:rPr>
          <w:fldChar w:fldCharType="end"/>
        </w:r>
      </w:hyperlink>
    </w:p>
    <w:p w14:paraId="2C66442D" w14:textId="6E95661F" w:rsidR="00DA5884" w:rsidRDefault="00837FE2">
      <w:pPr>
        <w:pStyle w:val="TOC3"/>
        <w:tabs>
          <w:tab w:val="left" w:pos="1100"/>
          <w:tab w:val="right" w:leader="dot" w:pos="9060"/>
        </w:tabs>
        <w:rPr>
          <w:rFonts w:eastAsiaTheme="minorEastAsia" w:cstheme="minorBidi"/>
          <w:i w:val="0"/>
          <w:iCs w:val="0"/>
          <w:noProof/>
          <w:sz w:val="22"/>
          <w:szCs w:val="22"/>
          <w:lang w:eastAsia="en-GB" w:bidi="ar-SA"/>
        </w:rPr>
      </w:pPr>
      <w:hyperlink w:anchor="_Toc93328375" w:history="1">
        <w:r w:rsidR="00DA5884" w:rsidRPr="00BC0AC5">
          <w:rPr>
            <w:rStyle w:val="Hyperlink"/>
            <w:noProof/>
          </w:rPr>
          <w:t>2.5.2</w:t>
        </w:r>
        <w:r w:rsidR="00DA5884">
          <w:rPr>
            <w:rFonts w:eastAsiaTheme="minorEastAsia" w:cstheme="minorBidi"/>
            <w:i w:val="0"/>
            <w:iCs w:val="0"/>
            <w:noProof/>
            <w:sz w:val="22"/>
            <w:szCs w:val="22"/>
            <w:lang w:eastAsia="en-GB" w:bidi="ar-SA"/>
          </w:rPr>
          <w:tab/>
        </w:r>
        <w:r w:rsidR="00DA5884" w:rsidRPr="00BC0AC5">
          <w:rPr>
            <w:rStyle w:val="Hyperlink"/>
            <w:noProof/>
          </w:rPr>
          <w:t>Subsection 18(1)</w:t>
        </w:r>
        <w:r w:rsidR="00DA5884">
          <w:rPr>
            <w:noProof/>
            <w:webHidden/>
          </w:rPr>
          <w:tab/>
        </w:r>
        <w:r w:rsidR="00DA5884">
          <w:rPr>
            <w:noProof/>
            <w:webHidden/>
          </w:rPr>
          <w:fldChar w:fldCharType="begin"/>
        </w:r>
        <w:r w:rsidR="00DA5884">
          <w:rPr>
            <w:noProof/>
            <w:webHidden/>
          </w:rPr>
          <w:instrText xml:space="preserve"> PAGEREF _Toc93328375 \h </w:instrText>
        </w:r>
        <w:r w:rsidR="00DA5884">
          <w:rPr>
            <w:noProof/>
            <w:webHidden/>
          </w:rPr>
        </w:r>
        <w:r w:rsidR="00DA5884">
          <w:rPr>
            <w:noProof/>
            <w:webHidden/>
          </w:rPr>
          <w:fldChar w:fldCharType="separate"/>
        </w:r>
        <w:r>
          <w:rPr>
            <w:noProof/>
            <w:webHidden/>
          </w:rPr>
          <w:t>10</w:t>
        </w:r>
        <w:r w:rsidR="00DA5884">
          <w:rPr>
            <w:noProof/>
            <w:webHidden/>
          </w:rPr>
          <w:fldChar w:fldCharType="end"/>
        </w:r>
      </w:hyperlink>
    </w:p>
    <w:p w14:paraId="6A52346F" w14:textId="4913A8CE" w:rsidR="00DA5884" w:rsidRDefault="00837FE2">
      <w:pPr>
        <w:pStyle w:val="TOC1"/>
        <w:tabs>
          <w:tab w:val="left" w:pos="440"/>
          <w:tab w:val="right" w:leader="dot" w:pos="9060"/>
        </w:tabs>
        <w:rPr>
          <w:rFonts w:eastAsiaTheme="minorEastAsia" w:cstheme="minorBidi"/>
          <w:b w:val="0"/>
          <w:bCs w:val="0"/>
          <w:caps w:val="0"/>
          <w:noProof/>
          <w:sz w:val="22"/>
          <w:szCs w:val="22"/>
          <w:lang w:eastAsia="en-GB" w:bidi="ar-SA"/>
        </w:rPr>
      </w:pPr>
      <w:hyperlink w:anchor="_Toc93328376" w:history="1">
        <w:r w:rsidR="00DA5884" w:rsidRPr="00BC0AC5">
          <w:rPr>
            <w:rStyle w:val="Hyperlink"/>
            <w:noProof/>
          </w:rPr>
          <w:t>4</w:t>
        </w:r>
        <w:r w:rsidR="00DA5884">
          <w:rPr>
            <w:rFonts w:eastAsiaTheme="minorEastAsia" w:cstheme="minorBidi"/>
            <w:b w:val="0"/>
            <w:bCs w:val="0"/>
            <w:caps w:val="0"/>
            <w:noProof/>
            <w:sz w:val="22"/>
            <w:szCs w:val="22"/>
            <w:lang w:eastAsia="en-GB" w:bidi="ar-SA"/>
          </w:rPr>
          <w:tab/>
        </w:r>
        <w:r w:rsidR="00DA5884" w:rsidRPr="00BC0AC5">
          <w:rPr>
            <w:rStyle w:val="Hyperlink"/>
            <w:noProof/>
          </w:rPr>
          <w:t>References</w:t>
        </w:r>
        <w:r w:rsidR="00DA5884">
          <w:rPr>
            <w:noProof/>
            <w:webHidden/>
          </w:rPr>
          <w:tab/>
        </w:r>
        <w:r w:rsidR="00DA5884">
          <w:rPr>
            <w:noProof/>
            <w:webHidden/>
          </w:rPr>
          <w:fldChar w:fldCharType="begin"/>
        </w:r>
        <w:r w:rsidR="00DA5884">
          <w:rPr>
            <w:noProof/>
            <w:webHidden/>
          </w:rPr>
          <w:instrText xml:space="preserve"> PAGEREF _Toc93328376 \h </w:instrText>
        </w:r>
        <w:r w:rsidR="00DA5884">
          <w:rPr>
            <w:noProof/>
            <w:webHidden/>
          </w:rPr>
        </w:r>
        <w:r w:rsidR="00DA5884">
          <w:rPr>
            <w:noProof/>
            <w:webHidden/>
          </w:rPr>
          <w:fldChar w:fldCharType="separate"/>
        </w:r>
        <w:r>
          <w:rPr>
            <w:noProof/>
            <w:webHidden/>
          </w:rPr>
          <w:t>12</w:t>
        </w:r>
        <w:r w:rsidR="00DA5884">
          <w:rPr>
            <w:noProof/>
            <w:webHidden/>
          </w:rPr>
          <w:fldChar w:fldCharType="end"/>
        </w:r>
      </w:hyperlink>
    </w:p>
    <w:p w14:paraId="6EB2681A" w14:textId="321786CC" w:rsidR="00DA5884" w:rsidRDefault="00837FE2">
      <w:pPr>
        <w:pStyle w:val="TOC2"/>
        <w:tabs>
          <w:tab w:val="right" w:leader="dot" w:pos="9060"/>
        </w:tabs>
        <w:rPr>
          <w:rFonts w:eastAsiaTheme="minorEastAsia" w:cstheme="minorBidi"/>
          <w:smallCaps w:val="0"/>
          <w:noProof/>
          <w:sz w:val="22"/>
          <w:szCs w:val="22"/>
          <w:lang w:eastAsia="en-GB" w:bidi="ar-SA"/>
        </w:rPr>
      </w:pPr>
      <w:hyperlink w:anchor="_Toc93328377" w:history="1">
        <w:r w:rsidR="00DA5884" w:rsidRPr="00BC0AC5">
          <w:rPr>
            <w:rStyle w:val="Hyperlink"/>
            <w:noProof/>
          </w:rPr>
          <w:t>Attachment A – Approved draft variation to the Australia New Zealand Food Standards Code</w:t>
        </w:r>
        <w:r w:rsidR="00DA5884">
          <w:rPr>
            <w:noProof/>
            <w:webHidden/>
          </w:rPr>
          <w:tab/>
        </w:r>
        <w:r w:rsidR="00DA5884">
          <w:rPr>
            <w:noProof/>
            <w:webHidden/>
          </w:rPr>
          <w:fldChar w:fldCharType="begin"/>
        </w:r>
        <w:r w:rsidR="00DA5884">
          <w:rPr>
            <w:noProof/>
            <w:webHidden/>
          </w:rPr>
          <w:instrText xml:space="preserve"> PAGEREF _Toc93328377 \h </w:instrText>
        </w:r>
        <w:r w:rsidR="00DA5884">
          <w:rPr>
            <w:noProof/>
            <w:webHidden/>
          </w:rPr>
        </w:r>
        <w:r w:rsidR="00DA5884">
          <w:rPr>
            <w:noProof/>
            <w:webHidden/>
          </w:rPr>
          <w:fldChar w:fldCharType="separate"/>
        </w:r>
        <w:r>
          <w:rPr>
            <w:noProof/>
            <w:webHidden/>
          </w:rPr>
          <w:t>13</w:t>
        </w:r>
        <w:r w:rsidR="00DA5884">
          <w:rPr>
            <w:noProof/>
            <w:webHidden/>
          </w:rPr>
          <w:fldChar w:fldCharType="end"/>
        </w:r>
      </w:hyperlink>
    </w:p>
    <w:p w14:paraId="4D50AF38" w14:textId="17761A01" w:rsidR="00DA5884" w:rsidRDefault="00837FE2">
      <w:pPr>
        <w:pStyle w:val="TOC2"/>
        <w:tabs>
          <w:tab w:val="right" w:leader="dot" w:pos="9060"/>
        </w:tabs>
        <w:rPr>
          <w:rFonts w:eastAsiaTheme="minorEastAsia" w:cstheme="minorBidi"/>
          <w:smallCaps w:val="0"/>
          <w:noProof/>
          <w:sz w:val="22"/>
          <w:szCs w:val="22"/>
          <w:lang w:eastAsia="en-GB" w:bidi="ar-SA"/>
        </w:rPr>
      </w:pPr>
      <w:hyperlink w:anchor="_Toc93328378" w:history="1">
        <w:r w:rsidR="00DA5884" w:rsidRPr="00BC0AC5">
          <w:rPr>
            <w:rStyle w:val="Hyperlink"/>
            <w:noProof/>
          </w:rPr>
          <w:t>Attachment B – Explanatory Statement</w:t>
        </w:r>
        <w:r w:rsidR="00DA5884">
          <w:rPr>
            <w:noProof/>
            <w:webHidden/>
          </w:rPr>
          <w:tab/>
        </w:r>
        <w:r w:rsidR="00DA5884">
          <w:rPr>
            <w:noProof/>
            <w:webHidden/>
          </w:rPr>
          <w:fldChar w:fldCharType="begin"/>
        </w:r>
        <w:r w:rsidR="00DA5884">
          <w:rPr>
            <w:noProof/>
            <w:webHidden/>
          </w:rPr>
          <w:instrText xml:space="preserve"> PAGEREF _Toc93328378 \h </w:instrText>
        </w:r>
        <w:r w:rsidR="00DA5884">
          <w:rPr>
            <w:noProof/>
            <w:webHidden/>
          </w:rPr>
        </w:r>
        <w:r w:rsidR="00DA5884">
          <w:rPr>
            <w:noProof/>
            <w:webHidden/>
          </w:rPr>
          <w:fldChar w:fldCharType="separate"/>
        </w:r>
        <w:r>
          <w:rPr>
            <w:noProof/>
            <w:webHidden/>
          </w:rPr>
          <w:t>15</w:t>
        </w:r>
        <w:r w:rsidR="00DA5884">
          <w:rPr>
            <w:noProof/>
            <w:webHidden/>
          </w:rPr>
          <w:fldChar w:fldCharType="end"/>
        </w:r>
      </w:hyperlink>
    </w:p>
    <w:p w14:paraId="6B6DC5D3" w14:textId="78652E58" w:rsidR="0012388D" w:rsidRDefault="00B55714" w:rsidP="00C91C02">
      <w:r w:rsidRPr="00346622">
        <w:rPr>
          <w:rFonts w:cs="Arial"/>
          <w:sz w:val="20"/>
          <w:szCs w:val="20"/>
        </w:rPr>
        <w:fldChar w:fldCharType="end"/>
      </w:r>
    </w:p>
    <w:p w14:paraId="6D4B2776" w14:textId="77777777" w:rsidR="007F7BF7" w:rsidRDefault="007F7BF7" w:rsidP="00CA5734"/>
    <w:p w14:paraId="7735C4C9" w14:textId="5AE6021D"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24610123" w14:textId="77777777" w:rsidR="004224F1" w:rsidRPr="004224F1" w:rsidRDefault="004224F1" w:rsidP="004224F1">
      <w:pPr>
        <w:rPr>
          <w:szCs w:val="22"/>
        </w:rPr>
      </w:pPr>
    </w:p>
    <w:p w14:paraId="38756226" w14:textId="77777777" w:rsidR="004224F1" w:rsidRPr="004224F1" w:rsidRDefault="004224F1" w:rsidP="004224F1">
      <w:pPr>
        <w:rPr>
          <w:szCs w:val="22"/>
        </w:rPr>
      </w:pPr>
      <w:r w:rsidRPr="004224F1">
        <w:rPr>
          <w:szCs w:val="22"/>
        </w:rPr>
        <w:t>The following document</w:t>
      </w:r>
      <w:r w:rsidRPr="004224F1">
        <w:rPr>
          <w:szCs w:val="22"/>
          <w:vertAlign w:val="superscript"/>
        </w:rPr>
        <w:footnoteReference w:id="2"/>
      </w:r>
      <w:r w:rsidRPr="004224F1">
        <w:rPr>
          <w:szCs w:val="22"/>
        </w:rPr>
        <w:t xml:space="preserve"> which informed the assessment of this application is available on the FSANZ website:</w:t>
      </w:r>
    </w:p>
    <w:p w14:paraId="0A431BC2" w14:textId="77777777" w:rsidR="004224F1" w:rsidRPr="004224F1" w:rsidRDefault="004224F1" w:rsidP="004224F1">
      <w:pPr>
        <w:rPr>
          <w:szCs w:val="22"/>
        </w:rPr>
      </w:pPr>
    </w:p>
    <w:p w14:paraId="306C62B1" w14:textId="60AEF840" w:rsidR="007A53BF" w:rsidRPr="004E05DD" w:rsidRDefault="004224F1" w:rsidP="004224F1">
      <w:pPr>
        <w:ind w:left="1134" w:hanging="1134"/>
      </w:pPr>
      <w:r w:rsidRPr="004224F1">
        <w:t>SD1</w:t>
      </w:r>
      <w:r w:rsidRPr="004224F1">
        <w:tab/>
        <w:t xml:space="preserve">Risk and technical assessment </w:t>
      </w:r>
      <w:r w:rsidRPr="004E05DD">
        <w:t xml:space="preserve">report </w:t>
      </w:r>
      <w:r w:rsidR="006C116D" w:rsidRPr="004E05DD">
        <w:t>(</w:t>
      </w:r>
      <w:r w:rsidR="004E05DD" w:rsidRPr="004E05DD">
        <w:t xml:space="preserve">unchanged </w:t>
      </w:r>
      <w:r w:rsidR="006C116D" w:rsidRPr="004E05DD">
        <w:t>at Approval)</w:t>
      </w:r>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93328359"/>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176A85EF" w14:textId="77777777" w:rsidR="004224F1" w:rsidRPr="00635CB6" w:rsidRDefault="004224F1" w:rsidP="004224F1">
      <w:pPr>
        <w:rPr>
          <w:szCs w:val="22"/>
        </w:rPr>
      </w:pPr>
      <w:r w:rsidRPr="00635CB6">
        <w:rPr>
          <w:szCs w:val="22"/>
        </w:rPr>
        <w:t xml:space="preserve">The Australia New Zealand Food Standards Code (the Code) permits the enzyme </w:t>
      </w:r>
      <w:r w:rsidRPr="00635CB6">
        <w:t xml:space="preserve">beta-fructofuranosidase (Enzyme Commission (EC) number 3.2.1.26) derived from </w:t>
      </w:r>
      <w:r w:rsidRPr="00635CB6">
        <w:rPr>
          <w:i/>
        </w:rPr>
        <w:t>Aspergillus niger</w:t>
      </w:r>
      <w:r w:rsidRPr="00635CB6">
        <w:t xml:space="preserve"> (</w:t>
      </w:r>
      <w:r w:rsidRPr="00635CB6">
        <w:rPr>
          <w:i/>
        </w:rPr>
        <w:t>A. niger</w:t>
      </w:r>
      <w:r w:rsidRPr="00635CB6">
        <w:t xml:space="preserve">) as a processing aid to perform any technological purpose </w:t>
      </w:r>
      <w:r w:rsidRPr="00635CB6">
        <w:rPr>
          <w:szCs w:val="22"/>
        </w:rPr>
        <w:t xml:space="preserve">in the manufacture of all foods. </w:t>
      </w:r>
    </w:p>
    <w:p w14:paraId="6CA0E33C" w14:textId="77777777" w:rsidR="004224F1" w:rsidRPr="00635CB6" w:rsidRDefault="004224F1" w:rsidP="004224F1">
      <w:pPr>
        <w:rPr>
          <w:szCs w:val="22"/>
        </w:rPr>
      </w:pPr>
    </w:p>
    <w:p w14:paraId="733A6496" w14:textId="60174F2C" w:rsidR="004224F1" w:rsidRPr="00635CB6" w:rsidRDefault="004224F1" w:rsidP="004224F1">
      <w:pPr>
        <w:rPr>
          <w:szCs w:val="22"/>
        </w:rPr>
      </w:pPr>
      <w:r w:rsidRPr="00635CB6">
        <w:rPr>
          <w:szCs w:val="22"/>
        </w:rPr>
        <w:t xml:space="preserve">Since the approval of </w:t>
      </w:r>
      <w:r w:rsidRPr="00635CB6">
        <w:rPr>
          <w:i/>
        </w:rPr>
        <w:t xml:space="preserve">A. niger </w:t>
      </w:r>
      <w:r w:rsidRPr="00635CB6">
        <w:t>as the microbial source of the enzyme in the Code, it has been re-</w:t>
      </w:r>
      <w:r w:rsidR="00B10CF6">
        <w:t>classified</w:t>
      </w:r>
      <w:r w:rsidR="00B10CF6" w:rsidRPr="00635CB6">
        <w:t xml:space="preserve"> </w:t>
      </w:r>
      <w:r w:rsidR="000A6FFF">
        <w:t xml:space="preserve">in the microbiological literature </w:t>
      </w:r>
      <w:r w:rsidRPr="00635CB6">
        <w:t xml:space="preserve">as the species </w:t>
      </w:r>
      <w:r w:rsidRPr="00635CB6">
        <w:rPr>
          <w:rFonts w:cs="Arial"/>
          <w:i/>
        </w:rPr>
        <w:t>Aspergillus fijiensis</w:t>
      </w:r>
      <w:r w:rsidRPr="00635CB6">
        <w:rPr>
          <w:rFonts w:cs="Arial"/>
          <w:lang w:val="en-AU"/>
        </w:rPr>
        <w:t xml:space="preserve"> (</w:t>
      </w:r>
      <w:r w:rsidRPr="00635CB6">
        <w:rPr>
          <w:rFonts w:cs="Arial"/>
          <w:i/>
          <w:lang w:val="en-AU"/>
        </w:rPr>
        <w:t>A. fijiensis</w:t>
      </w:r>
      <w:r w:rsidRPr="00635CB6">
        <w:rPr>
          <w:rFonts w:cs="Arial"/>
          <w:lang w:val="en-AU"/>
        </w:rPr>
        <w:t>).</w:t>
      </w:r>
      <w:r w:rsidRPr="00635CB6">
        <w:rPr>
          <w:szCs w:val="22"/>
        </w:rPr>
        <w:t xml:space="preserve"> </w:t>
      </w:r>
      <w:r w:rsidRPr="00635CB6">
        <w:t xml:space="preserve">Meiji Food Materia Co., Ltd. submitted an application to Food Standards Australia New Zealand (FSANZ) to </w:t>
      </w:r>
      <w:r w:rsidRPr="00635CB6">
        <w:rPr>
          <w:lang w:val="en-AU"/>
        </w:rPr>
        <w:t xml:space="preserve">permit </w:t>
      </w:r>
      <w:r w:rsidRPr="00635CB6">
        <w:rPr>
          <w:rFonts w:cs="Arial"/>
          <w:i/>
          <w:lang w:val="en-AU"/>
        </w:rPr>
        <w:t>A. fijiensis</w:t>
      </w:r>
      <w:r w:rsidRPr="00635CB6">
        <w:rPr>
          <w:rFonts w:cs="Arial"/>
          <w:lang w:val="en-AU"/>
        </w:rPr>
        <w:t xml:space="preserve"> as a </w:t>
      </w:r>
      <w:r w:rsidRPr="00635CB6">
        <w:rPr>
          <w:rFonts w:cs="Arial"/>
        </w:rPr>
        <w:t xml:space="preserve">microbial source of the enzyme beta-fructofuranosidase </w:t>
      </w:r>
      <w:r w:rsidR="0050665B">
        <w:rPr>
          <w:rFonts w:cs="Arial"/>
        </w:rPr>
        <w:t xml:space="preserve">used </w:t>
      </w:r>
      <w:r w:rsidRPr="00635CB6">
        <w:rPr>
          <w:rFonts w:cs="Arial"/>
        </w:rPr>
        <w:t>as a processing aid in any food.</w:t>
      </w:r>
      <w:r w:rsidRPr="00635CB6">
        <w:t xml:space="preserve"> The request for the additional permission is to ensure regulatory certainty</w:t>
      </w:r>
      <w:r w:rsidRPr="00635CB6">
        <w:rPr>
          <w:i/>
        </w:rPr>
        <w:t>.</w:t>
      </w:r>
    </w:p>
    <w:p w14:paraId="2231CEFF" w14:textId="77777777" w:rsidR="004224F1" w:rsidRPr="00635CB6" w:rsidRDefault="004224F1" w:rsidP="004224F1"/>
    <w:p w14:paraId="6BDED3E4" w14:textId="77777777" w:rsidR="004224F1" w:rsidRPr="00635CB6" w:rsidRDefault="004224F1" w:rsidP="004224F1">
      <w:r w:rsidRPr="00635CB6">
        <w:rPr>
          <w:rFonts w:cs="Arial"/>
          <w:lang w:val="en-AU" w:bidi="ar-SA"/>
        </w:rPr>
        <w:t xml:space="preserve">The enzyme meets international purity specifications. </w:t>
      </w:r>
      <w:r w:rsidRPr="00635CB6">
        <w:t>The enzyme is permitted for use in food production in the USA, France, Canada and Japan.</w:t>
      </w:r>
    </w:p>
    <w:p w14:paraId="5E73C810" w14:textId="77777777" w:rsidR="004224F1" w:rsidRPr="00635CB6" w:rsidRDefault="004224F1" w:rsidP="004224F1"/>
    <w:p w14:paraId="1ACEFFEE" w14:textId="781FA8A8" w:rsidR="004224F1" w:rsidRPr="00635CB6" w:rsidRDefault="004224F1" w:rsidP="004224F1">
      <w:pPr>
        <w:rPr>
          <w:lang w:bidi="ar-SA"/>
        </w:rPr>
      </w:pPr>
      <w:r w:rsidRPr="00635CB6">
        <w:t>No public health and safety concerns were identified in the assessment of b</w:t>
      </w:r>
      <w:r w:rsidRPr="00635CB6">
        <w:rPr>
          <w:lang w:val="en-AU"/>
        </w:rPr>
        <w:t xml:space="preserve">eta-fructofuranosidase from </w:t>
      </w:r>
      <w:r w:rsidRPr="00635CB6">
        <w:rPr>
          <w:i/>
          <w:lang w:val="en-AU"/>
        </w:rPr>
        <w:t xml:space="preserve">A. fijiensis. </w:t>
      </w:r>
      <w:r w:rsidRPr="00635CB6">
        <w:t>Based on the limited data available in the literature for the species</w:t>
      </w:r>
      <w:r w:rsidR="00B10CF6">
        <w:t>,</w:t>
      </w:r>
      <w:r w:rsidRPr="00635CB6">
        <w:t xml:space="preserve"> </w:t>
      </w:r>
      <w:r w:rsidRPr="00635CB6">
        <w:rPr>
          <w:i/>
        </w:rPr>
        <w:t>A. fijiensis</w:t>
      </w:r>
      <w:r w:rsidR="00B10CF6">
        <w:rPr>
          <w:i/>
        </w:rPr>
        <w:t>,</w:t>
      </w:r>
      <w:r w:rsidRPr="00635CB6">
        <w:t xml:space="preserve"> and as this is a new source</w:t>
      </w:r>
      <w:r w:rsidR="00747CE9">
        <w:t xml:space="preserve"> of the enzyme</w:t>
      </w:r>
      <w:r w:rsidRPr="00635CB6">
        <w:t xml:space="preserve">, </w:t>
      </w:r>
      <w:r w:rsidRPr="00635CB6">
        <w:rPr>
          <w:rFonts w:cs="Arial"/>
          <w:szCs w:val="22"/>
        </w:rPr>
        <w:t xml:space="preserve">it is </w:t>
      </w:r>
      <w:r w:rsidR="00F76197">
        <w:t>approved</w:t>
      </w:r>
      <w:r w:rsidRPr="00635CB6">
        <w:t xml:space="preserve"> </w:t>
      </w:r>
      <w:r w:rsidR="00F76197">
        <w:t>to be</w:t>
      </w:r>
      <w:r w:rsidRPr="00635CB6">
        <w:t xml:space="preserve"> designated in the Code at the strain level as </w:t>
      </w:r>
      <w:r w:rsidRPr="00635CB6">
        <w:rPr>
          <w:rFonts w:cs="Arial"/>
          <w:i/>
          <w:iCs/>
          <w:szCs w:val="22"/>
        </w:rPr>
        <w:t>A. fijiensis</w:t>
      </w:r>
      <w:r w:rsidRPr="00635CB6">
        <w:rPr>
          <w:rFonts w:cs="Arial"/>
          <w:szCs w:val="22"/>
        </w:rPr>
        <w:t xml:space="preserve"> ATCC 20611. This strain </w:t>
      </w:r>
      <w:r w:rsidRPr="00635CB6">
        <w:rPr>
          <w:lang w:bidi="ar-SA"/>
        </w:rPr>
        <w:t>is neither toxigenic nor pathogenic.</w:t>
      </w:r>
    </w:p>
    <w:p w14:paraId="123D1971" w14:textId="77777777" w:rsidR="004224F1" w:rsidRPr="00635CB6" w:rsidRDefault="004224F1" w:rsidP="004224F1">
      <w:pPr>
        <w:rPr>
          <w:lang w:bidi="ar-SA"/>
        </w:rPr>
      </w:pPr>
    </w:p>
    <w:p w14:paraId="4D05BE92" w14:textId="77777777" w:rsidR="004224F1" w:rsidRPr="00635CB6" w:rsidRDefault="004224F1" w:rsidP="004224F1">
      <w:r w:rsidRPr="00635CB6">
        <w:rPr>
          <w:lang w:bidi="ar-SA"/>
        </w:rPr>
        <w:t>The no observed adverse effect level (NOAEL) in a 13-week repeated dose oral toxicity study in rats was the highest dose tested and corresponds to</w:t>
      </w:r>
      <w:r w:rsidRPr="00635CB6">
        <w:t xml:space="preserve"> 920 mg/kg bw/day </w:t>
      </w:r>
      <w:r w:rsidRPr="00635CB6">
        <w:rPr>
          <w:lang w:bidi="ar-SA"/>
        </w:rPr>
        <w:t>total organic solids (TOS)</w:t>
      </w:r>
      <w:r w:rsidRPr="00635CB6">
        <w:t>. The theoretical maximum daily intake (TMDI) was calculated to be 0.52 mg/kg bw/day TOS for adults and 0.19 mg/kg bw/day for children. Comparison of the NOAEL and the calculated TMDIs gives a Margin of Exposure (MOE) of more than 1,700 for adults and 4,900 for children.</w:t>
      </w:r>
    </w:p>
    <w:p w14:paraId="706CBB8E" w14:textId="77777777" w:rsidR="004224F1" w:rsidRPr="00635CB6" w:rsidRDefault="004224F1" w:rsidP="004224F1">
      <w:pPr>
        <w:rPr>
          <w:szCs w:val="22"/>
        </w:rPr>
      </w:pPr>
    </w:p>
    <w:p w14:paraId="2374A114" w14:textId="5F0218DC" w:rsidR="00882BFB" w:rsidRDefault="004224F1" w:rsidP="004224F1">
      <w:pPr>
        <w:rPr>
          <w:lang w:bidi="ar-SA"/>
        </w:rPr>
      </w:pPr>
      <w:r w:rsidRPr="00635CB6">
        <w:t xml:space="preserve">Based on the reviewed data it is concluded that in the absence of any identifiable hazard an Acceptable Daily Intake (ADI) ‘not specified’ </w:t>
      </w:r>
      <w:r w:rsidR="00F76197">
        <w:t>wa</w:t>
      </w:r>
      <w:r w:rsidRPr="00635CB6">
        <w:t>s appropriate.</w:t>
      </w:r>
    </w:p>
    <w:p w14:paraId="5DA9A8BB" w14:textId="77777777" w:rsidR="00882BFB" w:rsidRPr="00635CB6" w:rsidRDefault="00882BFB" w:rsidP="00882BFB">
      <w:pPr>
        <w:rPr>
          <w:rFonts w:cs="Arial"/>
        </w:rPr>
      </w:pPr>
    </w:p>
    <w:p w14:paraId="50BB0059" w14:textId="77777777" w:rsidR="00882BFB" w:rsidRPr="00D3353B" w:rsidRDefault="00882BFB" w:rsidP="00882BFB">
      <w:r w:rsidRPr="00D3353B">
        <w:t xml:space="preserve">Following assessment and the preparation of a draft variation, FSANZ called for submissions regarding the draft variation from </w:t>
      </w:r>
      <w:r>
        <w:t>4 November</w:t>
      </w:r>
      <w:r w:rsidRPr="00D3353B">
        <w:t xml:space="preserve"> 2021 </w:t>
      </w:r>
      <w:r>
        <w:t>to</w:t>
      </w:r>
      <w:r w:rsidRPr="00D3353B">
        <w:t xml:space="preserve"> </w:t>
      </w:r>
      <w:r>
        <w:t>16 Decem</w:t>
      </w:r>
      <w:r w:rsidRPr="00D3353B">
        <w:t xml:space="preserve">ber 2021. </w:t>
      </w:r>
    </w:p>
    <w:p w14:paraId="31093E2F" w14:textId="77777777" w:rsidR="00882BFB" w:rsidRPr="00D3353B" w:rsidRDefault="00882BFB" w:rsidP="00882BFB"/>
    <w:p w14:paraId="0964113D" w14:textId="119A9548" w:rsidR="00882BFB" w:rsidRPr="00635CB6" w:rsidRDefault="00882BFB" w:rsidP="004224F1">
      <w:pPr>
        <w:rPr>
          <w:lang w:bidi="ar-SA"/>
        </w:rPr>
      </w:pPr>
      <w:r w:rsidRPr="007A1738">
        <w:t xml:space="preserve">FSANZ received </w:t>
      </w:r>
      <w:r>
        <w:t>three</w:t>
      </w:r>
      <w:r w:rsidRPr="007A1738">
        <w:t xml:space="preserve"> submissions</w:t>
      </w:r>
      <w:r>
        <w:t xml:space="preserve"> -</w:t>
      </w:r>
      <w:r w:rsidRPr="007A1738">
        <w:t xml:space="preserve"> </w:t>
      </w:r>
      <w:r>
        <w:t>two</w:t>
      </w:r>
      <w:r w:rsidRPr="007A1738">
        <w:t xml:space="preserve"> from government agencies and </w:t>
      </w:r>
      <w:r>
        <w:t>one</w:t>
      </w:r>
      <w:r w:rsidRPr="007A1738">
        <w:t xml:space="preserve"> from an industry group</w:t>
      </w:r>
      <w:r>
        <w:t xml:space="preserve">. </w:t>
      </w:r>
      <w:r w:rsidRPr="004E05DD">
        <w:t xml:space="preserve">All supported the draft variation and did not raise any issues related to the application. </w:t>
      </w:r>
    </w:p>
    <w:p w14:paraId="1CF5BC60" w14:textId="77777777" w:rsidR="004224F1" w:rsidRPr="00635CB6" w:rsidRDefault="004224F1" w:rsidP="004224F1">
      <w:pPr>
        <w:rPr>
          <w:szCs w:val="22"/>
        </w:rPr>
      </w:pPr>
    </w:p>
    <w:p w14:paraId="44322207" w14:textId="7A2A8289" w:rsidR="00DE0D92" w:rsidRDefault="00C11AC8" w:rsidP="004224F1">
      <w:pPr>
        <w:rPr>
          <w:lang w:val="en-AU"/>
        </w:rPr>
      </w:pPr>
      <w:r w:rsidRPr="00C11AC8">
        <w:t xml:space="preserve">Based on the above </w:t>
      </w:r>
      <w:r w:rsidR="00B10CF6">
        <w:t xml:space="preserve">considerations </w:t>
      </w:r>
      <w:r w:rsidRPr="00C11AC8">
        <w:t xml:space="preserve">and other relevant considerations set out in this report, FSANZ has approved a draft variation to </w:t>
      </w:r>
      <w:r w:rsidRPr="00635CB6">
        <w:t>the table to subsection S18—4(5)</w:t>
      </w:r>
      <w:r w:rsidR="00DE0D92">
        <w:t>. The approved draft variation will add a reference to ‘</w:t>
      </w:r>
      <w:r w:rsidR="00DE0D92" w:rsidRPr="00635CB6">
        <w:rPr>
          <w:rFonts w:cs="Arial"/>
          <w:i/>
          <w:iCs/>
          <w:szCs w:val="22"/>
        </w:rPr>
        <w:t xml:space="preserve">A. </w:t>
      </w:r>
      <w:r w:rsidR="00DE0D92" w:rsidRPr="00635CB6">
        <w:rPr>
          <w:i/>
          <w:szCs w:val="22"/>
        </w:rPr>
        <w:t xml:space="preserve">fijiensis </w:t>
      </w:r>
      <w:r w:rsidR="00DE0D92" w:rsidRPr="00635CB6">
        <w:rPr>
          <w:lang w:val="en-AU"/>
        </w:rPr>
        <w:t>ATCC 20611’</w:t>
      </w:r>
      <w:r w:rsidR="00DE0D92">
        <w:rPr>
          <w:lang w:val="en-AU"/>
        </w:rPr>
        <w:t xml:space="preserve"> into that table as a source of </w:t>
      </w:r>
      <w:r w:rsidR="00DE0D92" w:rsidRPr="00635CB6">
        <w:t>the enzyme beta-fructofuranosidase (EC 3.2.1.26)</w:t>
      </w:r>
      <w:r w:rsidR="00DE0D92">
        <w:t>.</w:t>
      </w:r>
      <w:r w:rsidR="00DE0D92" w:rsidRPr="00635CB6">
        <w:t xml:space="preserve"> </w:t>
      </w:r>
      <w:r w:rsidR="004224F1" w:rsidRPr="00635CB6">
        <w:t xml:space="preserve">The effect of the amendment </w:t>
      </w:r>
      <w:r w:rsidR="00DE0D92">
        <w:t>will be</w:t>
      </w:r>
      <w:r w:rsidR="00DE0D92" w:rsidRPr="00635CB6">
        <w:t xml:space="preserve"> </w:t>
      </w:r>
      <w:r w:rsidR="004224F1" w:rsidRPr="00635CB6">
        <w:t xml:space="preserve">to permit the use of the enzyme, beta-fructofuranosidase (EC 3.2.1.26), derived from </w:t>
      </w:r>
      <w:r w:rsidR="004224F1" w:rsidRPr="00635CB6">
        <w:rPr>
          <w:i/>
          <w:szCs w:val="22"/>
        </w:rPr>
        <w:t xml:space="preserve">A. fijiensis </w:t>
      </w:r>
      <w:r w:rsidR="004224F1" w:rsidRPr="00635CB6">
        <w:rPr>
          <w:lang w:val="en-AU"/>
        </w:rPr>
        <w:t>ATCC 20611</w:t>
      </w:r>
      <w:r w:rsidR="00DE0D92">
        <w:rPr>
          <w:lang w:val="en-AU"/>
        </w:rPr>
        <w:t>,</w:t>
      </w:r>
      <w:r w:rsidR="004224F1" w:rsidRPr="00635CB6">
        <w:rPr>
          <w:lang w:val="en-AU"/>
        </w:rPr>
        <w:t xml:space="preserve"> as a processing aid to perform any technological purpose in the manufacture of any food – in accordance with the Code. </w:t>
      </w:r>
    </w:p>
    <w:p w14:paraId="42AD504F" w14:textId="77777777" w:rsidR="00DE0D92" w:rsidRDefault="00DE0D92" w:rsidP="004224F1">
      <w:pPr>
        <w:rPr>
          <w:lang w:val="en-AU"/>
        </w:rPr>
      </w:pPr>
    </w:p>
    <w:p w14:paraId="1A486979" w14:textId="2F8BA43F" w:rsidR="004224F1" w:rsidRPr="00635CB6" w:rsidRDefault="004224F1" w:rsidP="004224F1">
      <w:pPr>
        <w:rPr>
          <w:rFonts w:cs="Arial"/>
        </w:rPr>
      </w:pPr>
      <w:r w:rsidRPr="00635CB6">
        <w:rPr>
          <w:lang w:val="en-AU"/>
        </w:rPr>
        <w:t xml:space="preserve">The aim of the amendment is to </w:t>
      </w:r>
      <w:r w:rsidR="00B10CF6">
        <w:rPr>
          <w:lang w:val="en-AU"/>
        </w:rPr>
        <w:t>clarify</w:t>
      </w:r>
      <w:r w:rsidRPr="00635CB6">
        <w:rPr>
          <w:lang w:val="en-AU"/>
        </w:rPr>
        <w:t xml:space="preserve"> the use of different names for the same </w:t>
      </w:r>
      <w:r w:rsidR="00B10CF6">
        <w:rPr>
          <w:lang w:val="en-AU"/>
        </w:rPr>
        <w:t>production organism</w:t>
      </w:r>
      <w:r w:rsidRPr="00635CB6">
        <w:rPr>
          <w:lang w:val="en-AU"/>
        </w:rPr>
        <w:t xml:space="preserve">. </w:t>
      </w:r>
      <w:r w:rsidRPr="00635CB6">
        <w:rPr>
          <w:rFonts w:cs="Arial"/>
        </w:rPr>
        <w:t xml:space="preserve">Reference to both names of the microbial source will also be likely to benefit international trade. </w:t>
      </w:r>
    </w:p>
    <w:p w14:paraId="7ED52A0C" w14:textId="77777777" w:rsidR="003D0D5A" w:rsidRPr="00635CB6" w:rsidRDefault="003D0D5A" w:rsidP="004224F1"/>
    <w:p w14:paraId="143F9864" w14:textId="77777777" w:rsidR="00C836FF" w:rsidRPr="00B742B7" w:rsidRDefault="00C836FF" w:rsidP="002421C1">
      <w:pPr>
        <w:pStyle w:val="Heading1"/>
        <w:rPr>
          <w:b w:val="0"/>
          <w:sz w:val="22"/>
          <w:szCs w:val="22"/>
        </w:rPr>
      </w:pPr>
      <w:r>
        <w:br w:type="page"/>
      </w:r>
    </w:p>
    <w:p w14:paraId="66C5FAE9" w14:textId="77777777" w:rsidR="007A53BF" w:rsidRPr="007A53BF" w:rsidRDefault="007A53BF" w:rsidP="00CE59AA">
      <w:pPr>
        <w:pStyle w:val="Heading1"/>
      </w:pPr>
      <w:bookmarkStart w:id="10" w:name="_Toc300933417"/>
      <w:bookmarkStart w:id="11" w:name="_Toc370223464"/>
      <w:bookmarkStart w:id="12" w:name="_Toc93328360"/>
      <w:r w:rsidRPr="007A53BF">
        <w:lastRenderedPageBreak/>
        <w:t>1</w:t>
      </w:r>
      <w:r w:rsidRPr="007A53BF">
        <w:tab/>
        <w:t>Introduction</w:t>
      </w:r>
      <w:bookmarkEnd w:id="10"/>
      <w:bookmarkEnd w:id="11"/>
      <w:bookmarkEnd w:id="12"/>
    </w:p>
    <w:p w14:paraId="7210B891" w14:textId="77777777" w:rsidR="003D0D5A" w:rsidRDefault="007A53BF" w:rsidP="003D0D5A">
      <w:pPr>
        <w:pStyle w:val="Heading2"/>
      </w:pPr>
      <w:bookmarkStart w:id="13" w:name="_Toc300761890"/>
      <w:bookmarkStart w:id="14" w:name="_Toc93328361"/>
      <w:bookmarkStart w:id="15" w:name="_Toc300933419"/>
      <w:bookmarkStart w:id="16" w:name="_Toc370223465"/>
      <w:r w:rsidRPr="007A53BF">
        <w:t>1.1</w:t>
      </w:r>
      <w:r w:rsidRPr="007A53BF">
        <w:tab/>
        <w:t>The Applicant</w:t>
      </w:r>
      <w:bookmarkEnd w:id="13"/>
      <w:bookmarkEnd w:id="14"/>
      <w:r w:rsidRPr="007A53BF">
        <w:t xml:space="preserve"> </w:t>
      </w:r>
      <w:bookmarkEnd w:id="15"/>
      <w:bookmarkEnd w:id="16"/>
    </w:p>
    <w:p w14:paraId="5141EA28" w14:textId="77777777" w:rsidR="003D0D5A" w:rsidRPr="007A16DE" w:rsidRDefault="003D0D5A" w:rsidP="003D0D5A">
      <w:bookmarkStart w:id="17" w:name="_Toc300761891"/>
      <w:bookmarkStart w:id="18" w:name="_Toc300933420"/>
      <w:bookmarkStart w:id="19" w:name="_Toc370223466"/>
      <w:r w:rsidRPr="007A16DE">
        <w:t xml:space="preserve">Meiji Food Materia Co., Ltd. </w:t>
      </w:r>
      <w:r>
        <w:t>i</w:t>
      </w:r>
      <w:r w:rsidRPr="007A16DE">
        <w:t>s a manufacturer and marketer of speciality food ingredients including food additives and processing aids</w:t>
      </w:r>
      <w:r>
        <w:t>.</w:t>
      </w:r>
    </w:p>
    <w:p w14:paraId="74F19653" w14:textId="16B57EEA" w:rsidR="007A53BF" w:rsidRPr="007A53BF" w:rsidRDefault="007A53BF" w:rsidP="00CE59AA">
      <w:pPr>
        <w:pStyle w:val="Heading2"/>
      </w:pPr>
      <w:bookmarkStart w:id="20" w:name="_Toc93328362"/>
      <w:r w:rsidRPr="007A53BF">
        <w:t>1.2</w:t>
      </w:r>
      <w:r w:rsidRPr="007A53BF">
        <w:tab/>
        <w:t xml:space="preserve">The </w:t>
      </w:r>
      <w:r w:rsidR="003D0D5A" w:rsidRPr="003D0D5A">
        <w:t>a</w:t>
      </w:r>
      <w:r w:rsidRPr="003D0D5A">
        <w:t>pplication</w:t>
      </w:r>
      <w:bookmarkEnd w:id="17"/>
      <w:bookmarkEnd w:id="18"/>
      <w:bookmarkEnd w:id="19"/>
      <w:bookmarkEnd w:id="20"/>
    </w:p>
    <w:p w14:paraId="3E3EA18F" w14:textId="1FAB2449" w:rsidR="003D0D5A" w:rsidRPr="003D0D5A" w:rsidRDefault="003D0D5A" w:rsidP="003D0D5A">
      <w:bookmarkStart w:id="21" w:name="_Toc300761892"/>
      <w:bookmarkStart w:id="22" w:name="_Toc300933421"/>
      <w:bookmarkStart w:id="23" w:name="_Toc370223467"/>
      <w:r w:rsidRPr="003D0D5A">
        <w:t>The application s</w:t>
      </w:r>
      <w:r>
        <w:t>ought</w:t>
      </w:r>
      <w:r w:rsidRPr="003D0D5A">
        <w:t xml:space="preserve"> permission to permit </w:t>
      </w:r>
      <w:r w:rsidRPr="003D0D5A">
        <w:rPr>
          <w:rFonts w:cs="Arial"/>
          <w:i/>
        </w:rPr>
        <w:t>Aspergillus fijiensis</w:t>
      </w:r>
      <w:r w:rsidRPr="003D0D5A">
        <w:rPr>
          <w:lang w:val="en-AU"/>
        </w:rPr>
        <w:t xml:space="preserve"> (</w:t>
      </w:r>
      <w:r w:rsidRPr="003D0D5A">
        <w:rPr>
          <w:i/>
          <w:lang w:val="en-AU"/>
        </w:rPr>
        <w:t>A. fijiensis</w:t>
      </w:r>
      <w:r w:rsidRPr="003D0D5A">
        <w:rPr>
          <w:lang w:val="en-AU"/>
        </w:rPr>
        <w:t xml:space="preserve">) as a </w:t>
      </w:r>
      <w:r w:rsidRPr="003D0D5A">
        <w:rPr>
          <w:rFonts w:cs="Arial"/>
        </w:rPr>
        <w:t>microbial source</w:t>
      </w:r>
      <w:r w:rsidRPr="003D0D5A">
        <w:t xml:space="preserve"> for the production of the enzyme beta-fructofuranosidase (Enzyme Commission (EC) number 3.2.1.26) as a processing aid in any food. Methods for identifying microorganisms are constantly evolving and in some cases microorganisms will be re-</w:t>
      </w:r>
      <w:r w:rsidR="00B10CF6">
        <w:t>classified</w:t>
      </w:r>
      <w:r w:rsidR="00B10CF6" w:rsidRPr="003D0D5A">
        <w:t xml:space="preserve"> </w:t>
      </w:r>
      <w:r w:rsidRPr="003D0D5A">
        <w:t xml:space="preserve">as different species. In this application, a microbial source of beta-fructofuranosidase currently approved in the </w:t>
      </w:r>
      <w:r w:rsidR="002657AE" w:rsidRPr="002657AE">
        <w:t>Australia New Zealand Food Standards Code (the Code)</w:t>
      </w:r>
      <w:r w:rsidRPr="003D0D5A">
        <w:t xml:space="preserve"> was originally identified as the species </w:t>
      </w:r>
      <w:r w:rsidR="00671DF3" w:rsidRPr="003D0D5A">
        <w:rPr>
          <w:rFonts w:cs="Arial"/>
          <w:i/>
        </w:rPr>
        <w:t>Aspergillus</w:t>
      </w:r>
      <w:r w:rsidR="00671DF3" w:rsidRPr="003D0D5A">
        <w:rPr>
          <w:i/>
        </w:rPr>
        <w:t xml:space="preserve"> </w:t>
      </w:r>
      <w:r w:rsidR="00671DF3">
        <w:rPr>
          <w:i/>
        </w:rPr>
        <w:t>niger (</w:t>
      </w:r>
      <w:r w:rsidRPr="003D0D5A">
        <w:rPr>
          <w:i/>
        </w:rPr>
        <w:t>A. niger</w:t>
      </w:r>
      <w:r w:rsidR="00671DF3">
        <w:rPr>
          <w:i/>
        </w:rPr>
        <w:t>)</w:t>
      </w:r>
      <w:r w:rsidRPr="003D0D5A">
        <w:rPr>
          <w:i/>
        </w:rPr>
        <w:t xml:space="preserve">, </w:t>
      </w:r>
      <w:r w:rsidRPr="003D0D5A">
        <w:t xml:space="preserve">but more advanced methods have now </w:t>
      </w:r>
      <w:r w:rsidR="00B10CF6">
        <w:t>determined</w:t>
      </w:r>
      <w:r w:rsidR="00B10CF6" w:rsidRPr="003D0D5A">
        <w:t xml:space="preserve"> </w:t>
      </w:r>
      <w:r w:rsidRPr="003D0D5A">
        <w:t>it as the species</w:t>
      </w:r>
      <w:r w:rsidRPr="003D0D5A">
        <w:rPr>
          <w:i/>
        </w:rPr>
        <w:t xml:space="preserve"> A. fijiensis.</w:t>
      </w:r>
      <w:r w:rsidRPr="003D0D5A">
        <w:t xml:space="preserve"> The request for the additional permission </w:t>
      </w:r>
      <w:r w:rsidR="00C7474A">
        <w:t>wa</w:t>
      </w:r>
      <w:r w:rsidRPr="003D0D5A">
        <w:t xml:space="preserve">s to ensure regulatory certainty for the applicant. </w:t>
      </w:r>
    </w:p>
    <w:p w14:paraId="03C8C923" w14:textId="77777777" w:rsidR="003D0D5A" w:rsidRPr="003D0D5A" w:rsidRDefault="003D0D5A" w:rsidP="003D0D5A"/>
    <w:p w14:paraId="48D9038E" w14:textId="2DB04A90" w:rsidR="003D0D5A" w:rsidRPr="003D0D5A" w:rsidRDefault="003D0D5A" w:rsidP="003D0D5A">
      <w:pPr>
        <w:widowControl/>
        <w:autoSpaceDE w:val="0"/>
        <w:autoSpaceDN w:val="0"/>
        <w:adjustRightInd w:val="0"/>
      </w:pPr>
      <w:r w:rsidRPr="003D0D5A">
        <w:rPr>
          <w:rFonts w:cs="Arial"/>
          <w:szCs w:val="22"/>
        </w:rPr>
        <w:t xml:space="preserve">The enzyme derived from </w:t>
      </w:r>
      <w:r w:rsidRPr="003D0D5A">
        <w:rPr>
          <w:rFonts w:cs="Arial"/>
          <w:i/>
          <w:szCs w:val="22"/>
        </w:rPr>
        <w:t>A. niger</w:t>
      </w:r>
      <w:r w:rsidRPr="003D0D5A">
        <w:rPr>
          <w:rFonts w:cs="Arial"/>
          <w:szCs w:val="22"/>
        </w:rPr>
        <w:t xml:space="preserve"> was permitted in the Code as a permitted processing aid as an outcome from application A1055</w:t>
      </w:r>
      <w:r w:rsidRPr="003D0D5A">
        <w:rPr>
          <w:rFonts w:cs="Arial"/>
          <w:szCs w:val="22"/>
          <w:vertAlign w:val="superscript"/>
        </w:rPr>
        <w:footnoteReference w:id="3"/>
      </w:r>
      <w:r w:rsidR="00B10CF6">
        <w:rPr>
          <w:rFonts w:cs="Arial"/>
          <w:szCs w:val="22"/>
        </w:rPr>
        <w:t>,</w:t>
      </w:r>
      <w:r w:rsidRPr="003D0D5A">
        <w:rPr>
          <w:rFonts w:cs="Arial"/>
          <w:szCs w:val="22"/>
        </w:rPr>
        <w:t xml:space="preserve"> which sought the use of fructo-oligosaccharides (FOS) as a nutritive substance.</w:t>
      </w:r>
      <w:r w:rsidRPr="003D0D5A">
        <w:t xml:space="preserve"> The gazettal occurred in 2013 and permitted the use of the enzyme for any technological purpose for all foods, not just for the production of FOS.</w:t>
      </w:r>
    </w:p>
    <w:p w14:paraId="52B25BCE" w14:textId="77777777" w:rsidR="007A53BF" w:rsidRPr="007A53BF" w:rsidRDefault="007A53BF" w:rsidP="00CE59AA">
      <w:pPr>
        <w:pStyle w:val="Heading2"/>
      </w:pPr>
      <w:bookmarkStart w:id="24" w:name="_Toc93328363"/>
      <w:r w:rsidRPr="007A53BF">
        <w:t>1.3</w:t>
      </w:r>
      <w:r w:rsidRPr="007A53BF">
        <w:tab/>
        <w:t>The current Standard</w:t>
      </w:r>
      <w:bookmarkEnd w:id="21"/>
      <w:bookmarkEnd w:id="22"/>
      <w:bookmarkEnd w:id="23"/>
      <w:bookmarkEnd w:id="24"/>
    </w:p>
    <w:p w14:paraId="18ABFB9A" w14:textId="77777777" w:rsidR="00C7474A" w:rsidRPr="00C7474A" w:rsidRDefault="00C7474A" w:rsidP="00C7474A">
      <w:pPr>
        <w:rPr>
          <w:i/>
        </w:rPr>
      </w:pPr>
      <w:bookmarkStart w:id="25" w:name="_Toc286391007"/>
      <w:bookmarkStart w:id="26" w:name="_Toc300933423"/>
      <w:bookmarkStart w:id="27" w:name="_Toc370223468"/>
      <w:bookmarkStart w:id="28" w:name="_Toc175381432"/>
      <w:r w:rsidRPr="00C7474A">
        <w:t>Australian and New Zealand food laws require food for sale to comply with the Code. The requirements relevant to this application are summarised below.</w:t>
      </w:r>
    </w:p>
    <w:p w14:paraId="18DFFB4B" w14:textId="77777777" w:rsidR="00C7474A" w:rsidRPr="00C7474A" w:rsidRDefault="00C7474A" w:rsidP="00C7474A">
      <w:pPr>
        <w:keepNext/>
        <w:spacing w:before="240" w:after="240"/>
        <w:ind w:left="851" w:hanging="851"/>
        <w:outlineLvl w:val="2"/>
        <w:rPr>
          <w:b/>
          <w:bCs/>
          <w:color w:val="000000" w:themeColor="text1"/>
          <w:lang w:eastAsia="en-AU" w:bidi="ar-SA"/>
        </w:rPr>
      </w:pPr>
      <w:bookmarkStart w:id="29" w:name="_Toc528569222"/>
      <w:bookmarkStart w:id="30" w:name="_Toc18672929"/>
      <w:bookmarkStart w:id="31" w:name="_Toc59089299"/>
      <w:bookmarkStart w:id="32" w:name="_Toc83719039"/>
      <w:r w:rsidRPr="00C7474A">
        <w:rPr>
          <w:b/>
          <w:bCs/>
          <w:color w:val="000000" w:themeColor="text1"/>
          <w:lang w:eastAsia="en-AU" w:bidi="ar-SA"/>
        </w:rPr>
        <w:t>1.3.1</w:t>
      </w:r>
      <w:r w:rsidRPr="00C7474A">
        <w:rPr>
          <w:b/>
          <w:bCs/>
          <w:color w:val="000000" w:themeColor="text1"/>
          <w:lang w:eastAsia="en-AU" w:bidi="ar-SA"/>
        </w:rPr>
        <w:tab/>
        <w:t>Permitted use</w:t>
      </w:r>
      <w:bookmarkEnd w:id="29"/>
      <w:bookmarkEnd w:id="30"/>
      <w:bookmarkEnd w:id="31"/>
      <w:bookmarkEnd w:id="32"/>
    </w:p>
    <w:p w14:paraId="63B83680" w14:textId="77777777" w:rsidR="00C7474A" w:rsidRPr="00C7474A" w:rsidRDefault="00C7474A" w:rsidP="00C7474A">
      <w:r w:rsidRPr="00C7474A">
        <w:t>Enzymes used in processing and manufacturing food are considered processing aids. Although they may be present in the final food, they no longer provide a technological purpose in the final food.</w:t>
      </w:r>
    </w:p>
    <w:p w14:paraId="2D0FA691" w14:textId="77777777" w:rsidR="00C7474A" w:rsidRPr="00C7474A" w:rsidRDefault="00C7474A" w:rsidP="00C7474A"/>
    <w:p w14:paraId="4C75C8E4" w14:textId="77777777" w:rsidR="00C7474A" w:rsidRPr="00C7474A" w:rsidRDefault="00C7474A" w:rsidP="00C7474A">
      <w:r w:rsidRPr="00C7474A">
        <w:t xml:space="preserve">Paragraph 1.1.1—10(6)(c) provides that food for sale cannot contain, as an ingredient or component, a substance ‘used as a processing aid’ unless that substance’s use as a processing aid is expressly permitted by the Code. </w:t>
      </w:r>
    </w:p>
    <w:p w14:paraId="5DA89FDA" w14:textId="77777777" w:rsidR="00C7474A" w:rsidRPr="00C7474A" w:rsidRDefault="00C7474A" w:rsidP="00C7474A"/>
    <w:p w14:paraId="290963E9" w14:textId="77777777" w:rsidR="00C7474A" w:rsidRPr="00C7474A" w:rsidRDefault="00C7474A" w:rsidP="00C7474A">
      <w:r w:rsidRPr="00C7474A">
        <w:t>Section 1.1.2—13 provides that a substance ‘used as a processing aid’ in relation to a food is a substance used during the course of processing that meets all of the following conditions: it is used to perform a technological purpose during the course of processing; it does not perform a technological purpose in the food for sale; and it is a substance listed in Schedule 18 or identified in section S16—2 as an additive permitted at Good Manufacturing Practice (GMP).</w:t>
      </w:r>
    </w:p>
    <w:p w14:paraId="684AA2D4" w14:textId="77777777" w:rsidR="00C7474A" w:rsidRPr="00C7474A" w:rsidRDefault="00C7474A" w:rsidP="00C7474A"/>
    <w:p w14:paraId="1255A045" w14:textId="77777777" w:rsidR="00C7474A" w:rsidRPr="00C7474A" w:rsidRDefault="00C7474A" w:rsidP="00C7474A">
      <w:r w:rsidRPr="00C7474A">
        <w:t xml:space="preserve">Standard 1.3.3 and Schedule 18 list the permitted processing aids. Enzymes of microbial origin permitted to be used as processing aids are listed in the table to subsection S18—4(5) or in the table to subsection S18—9(3). An enzyme of microbial origin listed in the table to subsection S18—4(5) is permitted for use as a processing aid to perform any technological purpose if the enzyme is derived from the corresponding source specified in the table. The table to subsection S18—9(3) lists those substances, including enzymes derived from </w:t>
      </w:r>
      <w:r w:rsidRPr="00C7474A">
        <w:lastRenderedPageBreak/>
        <w:t>particular sources, that are:</w:t>
      </w:r>
    </w:p>
    <w:p w14:paraId="79F23734" w14:textId="77777777" w:rsidR="00C7474A" w:rsidRPr="00C7474A" w:rsidRDefault="00C7474A" w:rsidP="00C7474A"/>
    <w:p w14:paraId="5C3CB24F" w14:textId="77777777" w:rsidR="00C7474A" w:rsidRPr="00C7474A" w:rsidRDefault="00C7474A" w:rsidP="00291734">
      <w:pPr>
        <w:numPr>
          <w:ilvl w:val="0"/>
          <w:numId w:val="4"/>
        </w:numPr>
        <w:ind w:left="567" w:hanging="567"/>
        <w:contextualSpacing/>
      </w:pPr>
      <w:r w:rsidRPr="00C7474A">
        <w:t>permitted to be used as processing aids for specific technological purposes in relation to:</w:t>
      </w:r>
    </w:p>
    <w:p w14:paraId="1F917A9C" w14:textId="77777777" w:rsidR="00C7474A" w:rsidRPr="00C7474A" w:rsidRDefault="00C7474A" w:rsidP="00291734">
      <w:pPr>
        <w:numPr>
          <w:ilvl w:val="0"/>
          <w:numId w:val="5"/>
        </w:numPr>
        <w:ind w:left="1134" w:hanging="567"/>
        <w:contextualSpacing/>
      </w:pPr>
      <w:r w:rsidRPr="00C7474A">
        <w:t>if a food is specified—that food; or</w:t>
      </w:r>
    </w:p>
    <w:p w14:paraId="2B197A74" w14:textId="77777777" w:rsidR="00C7474A" w:rsidRPr="00C7474A" w:rsidRDefault="00C7474A" w:rsidP="00291734">
      <w:pPr>
        <w:numPr>
          <w:ilvl w:val="0"/>
          <w:numId w:val="5"/>
        </w:numPr>
        <w:ind w:left="1134" w:hanging="567"/>
        <w:contextualSpacing/>
      </w:pPr>
      <w:r w:rsidRPr="00C7474A">
        <w:t>if no food is specified—any food; and</w:t>
      </w:r>
    </w:p>
    <w:p w14:paraId="0B7B8E6F" w14:textId="77777777" w:rsidR="00C7474A" w:rsidRPr="00C7474A" w:rsidRDefault="00C7474A" w:rsidP="00291734">
      <w:pPr>
        <w:numPr>
          <w:ilvl w:val="0"/>
          <w:numId w:val="4"/>
        </w:numPr>
        <w:ind w:left="567" w:hanging="567"/>
        <w:contextualSpacing/>
      </w:pPr>
      <w:r w:rsidRPr="00C7474A">
        <w:t>present in the food at a level not greater than the maximum permitted level specified in the table.</w:t>
      </w:r>
    </w:p>
    <w:p w14:paraId="1E13E715" w14:textId="77777777" w:rsidR="00C7474A" w:rsidRPr="00C7474A" w:rsidRDefault="00C7474A" w:rsidP="00C7474A"/>
    <w:p w14:paraId="7C94D14A" w14:textId="77777777" w:rsidR="00C7474A" w:rsidRPr="00C7474A" w:rsidRDefault="00C7474A" w:rsidP="00C7474A">
      <w:r w:rsidRPr="00C7474A">
        <w:t xml:space="preserve">Beta-fructofuranosidase derived from both </w:t>
      </w:r>
      <w:r w:rsidRPr="00C7474A">
        <w:rPr>
          <w:i/>
        </w:rPr>
        <w:t>A. niger</w:t>
      </w:r>
      <w:r w:rsidRPr="00C7474A">
        <w:t xml:space="preserve"> and </w:t>
      </w:r>
      <w:r w:rsidRPr="00C7474A">
        <w:rPr>
          <w:i/>
        </w:rPr>
        <w:t>Saccharomyces cerevisiae</w:t>
      </w:r>
      <w:r w:rsidRPr="00C7474A">
        <w:t xml:space="preserve"> are listed in the table to subsection S18—4(5) and consequentially are permitted to be used as a processing aid in the manufacture of all foods. However, beta-fructofuranosidase derived from </w:t>
      </w:r>
      <w:r w:rsidRPr="00C7474A">
        <w:rPr>
          <w:i/>
        </w:rPr>
        <w:t xml:space="preserve">A. fijiensis </w:t>
      </w:r>
      <w:r w:rsidRPr="00C7474A">
        <w:t xml:space="preserve">is not listed in the table. There are also no other permissions for beta-fructofuranosidase as a processing aid in subsection S18—9(3). </w:t>
      </w:r>
    </w:p>
    <w:p w14:paraId="742DFAB7" w14:textId="77777777" w:rsidR="00C7474A" w:rsidRPr="00C7474A" w:rsidRDefault="00C7474A" w:rsidP="00C7474A"/>
    <w:p w14:paraId="22F841FB" w14:textId="77777777" w:rsidR="00C7474A" w:rsidRPr="00C7474A" w:rsidRDefault="00C7474A" w:rsidP="00C7474A">
      <w:r w:rsidRPr="00C7474A">
        <w:t xml:space="preserve">It is noted that the source microorganisms relevant to this application, being </w:t>
      </w:r>
      <w:r w:rsidRPr="00C7474A">
        <w:rPr>
          <w:i/>
        </w:rPr>
        <w:t>A. niger</w:t>
      </w:r>
      <w:r w:rsidRPr="00C7474A">
        <w:t xml:space="preserve"> and </w:t>
      </w:r>
      <w:r w:rsidRPr="00C7474A">
        <w:rPr>
          <w:i/>
        </w:rPr>
        <w:t>A. fijiensis</w:t>
      </w:r>
      <w:r w:rsidRPr="00C7474A">
        <w:t xml:space="preserve"> are not genetically modified (GM), so sections in the Code relevant for enzymes produced from GM microorganisms are not relevant for this assessment.</w:t>
      </w:r>
    </w:p>
    <w:p w14:paraId="29080BA2" w14:textId="77777777" w:rsidR="00C7474A" w:rsidRPr="00C7474A" w:rsidRDefault="00C7474A" w:rsidP="00C7474A">
      <w:pPr>
        <w:keepNext/>
        <w:spacing w:before="240" w:after="240"/>
        <w:ind w:left="851" w:hanging="851"/>
        <w:outlineLvl w:val="2"/>
        <w:rPr>
          <w:b/>
          <w:bCs/>
          <w:color w:val="000000" w:themeColor="text1"/>
          <w:lang w:eastAsia="en-AU" w:bidi="ar-SA"/>
        </w:rPr>
      </w:pPr>
      <w:bookmarkStart w:id="33" w:name="_Toc18672930"/>
      <w:bookmarkStart w:id="34" w:name="_Toc59089300"/>
      <w:bookmarkStart w:id="35" w:name="_Toc83719040"/>
      <w:r w:rsidRPr="00C7474A">
        <w:rPr>
          <w:b/>
          <w:bCs/>
          <w:color w:val="000000" w:themeColor="text1"/>
          <w:lang w:eastAsia="en-AU" w:bidi="ar-SA"/>
        </w:rPr>
        <w:t>1</w:t>
      </w:r>
      <w:bookmarkStart w:id="36" w:name="_Toc532222239"/>
      <w:r w:rsidRPr="00C7474A">
        <w:rPr>
          <w:b/>
          <w:bCs/>
          <w:color w:val="000000" w:themeColor="text1"/>
          <w:lang w:eastAsia="en-AU" w:bidi="ar-SA"/>
        </w:rPr>
        <w:t>.3.2</w:t>
      </w:r>
      <w:r w:rsidRPr="00C7474A">
        <w:rPr>
          <w:b/>
          <w:bCs/>
          <w:color w:val="000000" w:themeColor="text1"/>
          <w:lang w:eastAsia="en-AU" w:bidi="ar-SA"/>
        </w:rPr>
        <w:tab/>
        <w:t>Identity and purity requirements</w:t>
      </w:r>
      <w:bookmarkEnd w:id="33"/>
      <w:bookmarkEnd w:id="34"/>
      <w:bookmarkEnd w:id="35"/>
      <w:bookmarkEnd w:id="36"/>
    </w:p>
    <w:p w14:paraId="34B30A56" w14:textId="77777777" w:rsidR="00C7474A" w:rsidRPr="00C7474A" w:rsidRDefault="00C7474A" w:rsidP="00C7474A">
      <w:r w:rsidRPr="00C7474A">
        <w:t xml:space="preserve">Paragraph 1.1.1—15(1)(b) requires substances used as processing aids in food to comply with any relevant identity and purity specifications listed in Schedule 3. </w:t>
      </w:r>
    </w:p>
    <w:p w14:paraId="53A05FD4" w14:textId="77777777" w:rsidR="00C7474A" w:rsidRPr="00C7474A" w:rsidRDefault="00C7474A" w:rsidP="00C7474A"/>
    <w:p w14:paraId="4A893902" w14:textId="77777777" w:rsidR="00C7474A" w:rsidRPr="00C7474A" w:rsidRDefault="00C7474A" w:rsidP="00C7474A">
      <w:r w:rsidRPr="00C7474A">
        <w:t xml:space="preserve">Subsection S3—2(1) of Schedule 3 incorporates by reference the specifications </w:t>
      </w:r>
      <w:r w:rsidRPr="00C7474A">
        <w:rPr>
          <w:rFonts w:eastAsia="Calibri" w:cs="Arial"/>
          <w:bCs/>
          <w:szCs w:val="22"/>
          <w:lang w:val="en-AU" w:bidi="ar-SA"/>
        </w:rPr>
        <w:t xml:space="preserve">listed in </w:t>
      </w:r>
      <w:r w:rsidRPr="00C7474A">
        <w:t>the Joint FAO/WHO Expert Committee on Food Additives (JECFA) Combined Compendium of Food Additive Specifications (FAO JECFA Monographs 23 (2019)), (in particular FAO/WHO 2006, for enzymes) and the United States Pharmacopeial Convention (2020) Food Chemicals Codex (12</w:t>
      </w:r>
      <w:r w:rsidRPr="00C7474A">
        <w:rPr>
          <w:vertAlign w:val="superscript"/>
        </w:rPr>
        <w:t>th</w:t>
      </w:r>
      <w:r w:rsidRPr="00C7474A">
        <w:t xml:space="preserve"> edition). These include specifications for enzyme preparations used in food processing.</w:t>
      </w:r>
    </w:p>
    <w:p w14:paraId="0D5CD846" w14:textId="77777777" w:rsidR="00C7474A" w:rsidRPr="00C7474A" w:rsidRDefault="00C7474A" w:rsidP="00C7474A">
      <w:pPr>
        <w:keepNext/>
        <w:spacing w:before="240" w:after="240"/>
        <w:ind w:left="851" w:hanging="851"/>
        <w:outlineLvl w:val="2"/>
        <w:rPr>
          <w:b/>
          <w:bCs/>
          <w:color w:val="000000" w:themeColor="text1"/>
          <w:lang w:eastAsia="en-AU" w:bidi="ar-SA"/>
        </w:rPr>
      </w:pPr>
      <w:bookmarkStart w:id="37" w:name="_Toc18672931"/>
      <w:bookmarkStart w:id="38" w:name="_Toc59089301"/>
      <w:bookmarkStart w:id="39" w:name="_Toc83719041"/>
      <w:bookmarkStart w:id="40" w:name="_Toc526345341"/>
      <w:bookmarkStart w:id="41" w:name="_Toc528569224"/>
      <w:bookmarkStart w:id="42" w:name="_Toc532222240"/>
      <w:r w:rsidRPr="00C7474A">
        <w:rPr>
          <w:b/>
          <w:bCs/>
          <w:color w:val="000000" w:themeColor="text1"/>
          <w:lang w:eastAsia="en-AU" w:bidi="ar-SA"/>
        </w:rPr>
        <w:t>1.3.3</w:t>
      </w:r>
      <w:r w:rsidRPr="00C7474A">
        <w:rPr>
          <w:b/>
          <w:bCs/>
          <w:color w:val="000000" w:themeColor="text1"/>
          <w:lang w:eastAsia="en-AU" w:bidi="ar-SA"/>
        </w:rPr>
        <w:tab/>
        <w:t>Labelling requirements</w:t>
      </w:r>
      <w:bookmarkEnd w:id="37"/>
      <w:bookmarkEnd w:id="38"/>
      <w:bookmarkEnd w:id="39"/>
    </w:p>
    <w:p w14:paraId="3DE1A10A" w14:textId="77777777" w:rsidR="00C7474A" w:rsidRPr="00C7474A" w:rsidRDefault="00C7474A" w:rsidP="00C7474A">
      <w:pPr>
        <w:rPr>
          <w:rFonts w:cs="Arial"/>
          <w:szCs w:val="22"/>
        </w:rPr>
      </w:pPr>
      <w:r w:rsidRPr="00C7474A">
        <w:rPr>
          <w:rFonts w:cs="Arial"/>
          <w:szCs w:val="22"/>
        </w:rPr>
        <w:t>Subsection 1.1.1</w:t>
      </w:r>
      <w:r w:rsidRPr="00C7474A">
        <w:rPr>
          <w:rFonts w:cs="Arial"/>
          <w:szCs w:val="22"/>
          <w:lang w:val="en-AU"/>
        </w:rPr>
        <w:t>—</w:t>
      </w:r>
      <w:r w:rsidRPr="00C7474A">
        <w:rPr>
          <w:rFonts w:cs="Arial"/>
          <w:szCs w:val="22"/>
        </w:rPr>
        <w:t>10(8) provides that food for sale must comply with all relevant labelling requirements imposed by the Code for that food.</w:t>
      </w:r>
    </w:p>
    <w:p w14:paraId="13EBCB89" w14:textId="77777777" w:rsidR="00C7474A" w:rsidRPr="00C7474A" w:rsidRDefault="00C7474A" w:rsidP="00C7474A">
      <w:pPr>
        <w:rPr>
          <w:rFonts w:cs="Arial"/>
          <w:szCs w:val="22"/>
        </w:rPr>
      </w:pPr>
    </w:p>
    <w:p w14:paraId="57EC0482" w14:textId="77777777" w:rsidR="00C7474A" w:rsidRPr="00C7474A" w:rsidRDefault="00C7474A" w:rsidP="00C7474A">
      <w:r w:rsidRPr="00C7474A">
        <w:t>Division 3 of Standard 1.2.3 requires certain food to be declared when present in a food for sale. Paragraph 1.2.3—4(5)(c) states the food may be present as a substance used as a processing aid, or an ingredient or component of such a substance.</w:t>
      </w:r>
    </w:p>
    <w:p w14:paraId="1475E2D8" w14:textId="77777777" w:rsidR="00C7474A" w:rsidRPr="00C7474A" w:rsidRDefault="00C7474A" w:rsidP="00C7474A"/>
    <w:p w14:paraId="098C365D" w14:textId="77777777" w:rsidR="00C7474A" w:rsidRPr="00C7474A" w:rsidRDefault="00C7474A" w:rsidP="00C7474A">
      <w:r w:rsidRPr="00C7474A">
        <w:t xml:space="preserve">Paragraphs 1.2.4—3(2)(d) and (e) exempt processing aids from the requirement to be declared in the statement of ingredients, unless other requirements apply. </w:t>
      </w:r>
    </w:p>
    <w:p w14:paraId="630E429C" w14:textId="77777777" w:rsidR="00C7474A" w:rsidRPr="00C7474A" w:rsidRDefault="00C7474A" w:rsidP="00C7474A">
      <w:pPr>
        <w:keepNext/>
        <w:spacing w:before="240" w:after="240"/>
        <w:ind w:left="851" w:hanging="851"/>
        <w:outlineLvl w:val="2"/>
        <w:rPr>
          <w:b/>
          <w:bCs/>
          <w:color w:val="000000" w:themeColor="text1"/>
          <w:lang w:eastAsia="en-AU" w:bidi="ar-SA"/>
        </w:rPr>
      </w:pPr>
      <w:bookmarkStart w:id="43" w:name="_Toc18672932"/>
      <w:bookmarkStart w:id="44" w:name="_Toc59089302"/>
      <w:bookmarkStart w:id="45" w:name="_Toc83719042"/>
      <w:r w:rsidRPr="00C7474A">
        <w:rPr>
          <w:b/>
          <w:bCs/>
          <w:color w:val="000000" w:themeColor="text1"/>
          <w:lang w:eastAsia="en-AU" w:bidi="ar-SA"/>
        </w:rPr>
        <w:t>1.3.4</w:t>
      </w:r>
      <w:r w:rsidRPr="00C7474A">
        <w:rPr>
          <w:b/>
          <w:bCs/>
          <w:color w:val="000000" w:themeColor="text1"/>
          <w:lang w:eastAsia="en-AU" w:bidi="ar-SA"/>
        </w:rPr>
        <w:tab/>
        <w:t>International standards</w:t>
      </w:r>
      <w:bookmarkEnd w:id="40"/>
      <w:bookmarkEnd w:id="41"/>
      <w:bookmarkEnd w:id="42"/>
      <w:bookmarkEnd w:id="43"/>
      <w:bookmarkEnd w:id="44"/>
      <w:bookmarkEnd w:id="45"/>
    </w:p>
    <w:p w14:paraId="351E36AF" w14:textId="77777777" w:rsidR="00C7474A" w:rsidRPr="00C7474A" w:rsidRDefault="00C7474A" w:rsidP="00C7474A">
      <w:pPr>
        <w:tabs>
          <w:tab w:val="left" w:pos="993"/>
        </w:tabs>
      </w:pPr>
      <w:r w:rsidRPr="00C7474A">
        <w:t xml:space="preserve">In developing food regulatory measures, FSANZ must have regard to the promotion of consistency between domestic and international food standards. In terms of food safety, the relevant international standard setting body is the Codex Alimentarius Commission (Codex). Standards set by Codex provide a benchmark against which national food measures and regulations can be assessed. In certain situations however, FSANZ might receive an application to amend the Code for permission to use a new processing aid or food additive before an international standard exists. </w:t>
      </w:r>
    </w:p>
    <w:p w14:paraId="6324B382" w14:textId="77777777" w:rsidR="00C7474A" w:rsidRPr="00C7474A" w:rsidRDefault="00C7474A" w:rsidP="00C7474A">
      <w:pPr>
        <w:tabs>
          <w:tab w:val="left" w:pos="993"/>
        </w:tabs>
      </w:pPr>
    </w:p>
    <w:p w14:paraId="12077D90" w14:textId="77777777" w:rsidR="00C7474A" w:rsidRPr="00C7474A" w:rsidRDefault="00C7474A" w:rsidP="00C7474A">
      <w:pPr>
        <w:tabs>
          <w:tab w:val="left" w:pos="993"/>
        </w:tabs>
      </w:pPr>
      <w:r w:rsidRPr="00C7474A">
        <w:t>There are also situations where domestic food standards will necessarily vary from international standards. This could include circumstances where:</w:t>
      </w:r>
    </w:p>
    <w:p w14:paraId="4468B00A" w14:textId="77777777" w:rsidR="00C7474A" w:rsidRPr="00C7474A" w:rsidRDefault="00C7474A" w:rsidP="00C7474A">
      <w:pPr>
        <w:tabs>
          <w:tab w:val="left" w:pos="993"/>
        </w:tabs>
      </w:pPr>
    </w:p>
    <w:p w14:paraId="7F364858" w14:textId="77777777" w:rsidR="00C7474A" w:rsidRPr="00C7474A" w:rsidRDefault="00C7474A" w:rsidP="00291734">
      <w:pPr>
        <w:numPr>
          <w:ilvl w:val="0"/>
          <w:numId w:val="4"/>
        </w:numPr>
        <w:tabs>
          <w:tab w:val="left" w:pos="993"/>
        </w:tabs>
        <w:ind w:left="567" w:hanging="567"/>
        <w:contextualSpacing/>
      </w:pPr>
      <w:r w:rsidRPr="00C7474A">
        <w:t>new data for the domestic situation that was not available at the time the international standard was set becomes available for assessment</w:t>
      </w:r>
    </w:p>
    <w:p w14:paraId="60825A91" w14:textId="77777777" w:rsidR="00C7474A" w:rsidRPr="00C7474A" w:rsidRDefault="00C7474A" w:rsidP="00291734">
      <w:pPr>
        <w:numPr>
          <w:ilvl w:val="0"/>
          <w:numId w:val="4"/>
        </w:numPr>
        <w:tabs>
          <w:tab w:val="left" w:pos="993"/>
        </w:tabs>
        <w:ind w:left="567" w:hanging="567"/>
        <w:contextualSpacing/>
      </w:pPr>
      <w:r w:rsidRPr="00C7474A">
        <w:t>the domestic environment (climate and growing conditions) results in different levels of risk from contaminants, natural toxicants or nutrient levels in foods</w:t>
      </w:r>
    </w:p>
    <w:p w14:paraId="03D95D99" w14:textId="77777777" w:rsidR="00C7474A" w:rsidRPr="00C7474A" w:rsidRDefault="00C7474A" w:rsidP="00291734">
      <w:pPr>
        <w:numPr>
          <w:ilvl w:val="0"/>
          <w:numId w:val="4"/>
        </w:numPr>
        <w:tabs>
          <w:tab w:val="left" w:pos="993"/>
        </w:tabs>
        <w:ind w:left="567" w:hanging="567"/>
        <w:contextualSpacing/>
      </w:pPr>
      <w:r w:rsidRPr="00C7474A">
        <w:t>domestic consumption patterns result in different dietary exposures</w:t>
      </w:r>
    </w:p>
    <w:p w14:paraId="44E85FCB" w14:textId="77777777" w:rsidR="00C7474A" w:rsidRPr="00C7474A" w:rsidRDefault="00C7474A" w:rsidP="00291734">
      <w:pPr>
        <w:numPr>
          <w:ilvl w:val="0"/>
          <w:numId w:val="4"/>
        </w:numPr>
        <w:tabs>
          <w:tab w:val="left" w:pos="993"/>
        </w:tabs>
        <w:ind w:left="567" w:hanging="567"/>
        <w:contextualSpacing/>
      </w:pPr>
      <w:r w:rsidRPr="00C7474A">
        <w:t xml:space="preserve">particular manufacturing and production processes have been adopted to meet specific domestic requirements. </w:t>
      </w:r>
    </w:p>
    <w:p w14:paraId="21AFC4D7" w14:textId="77777777" w:rsidR="00C7474A" w:rsidRPr="00C7474A" w:rsidRDefault="00C7474A" w:rsidP="00C7474A">
      <w:pPr>
        <w:tabs>
          <w:tab w:val="left" w:pos="993"/>
        </w:tabs>
        <w:ind w:left="720"/>
        <w:contextualSpacing/>
      </w:pPr>
    </w:p>
    <w:p w14:paraId="6F1F3AA1" w14:textId="77777777" w:rsidR="00C7474A" w:rsidRPr="00C7474A" w:rsidRDefault="00C7474A" w:rsidP="00C7474A">
      <w:pPr>
        <w:rPr>
          <w:rFonts w:cs="Arial"/>
          <w:szCs w:val="22"/>
          <w:lang w:bidi="ar-SA"/>
        </w:rPr>
      </w:pPr>
      <w:r w:rsidRPr="00C7474A">
        <w:rPr>
          <w:rFonts w:cs="Arial"/>
        </w:rPr>
        <w:t xml:space="preserve">Regulation (EC) No 1332/2008 (which became fully effective from January 2010) (the Regulation) harmonises for the first time the rules for food enzymes in the European Union (EU). Previous to the Regulation, food enzymes used as processing aids were not regulated at EU level. </w:t>
      </w:r>
    </w:p>
    <w:p w14:paraId="1C191A1E" w14:textId="77777777" w:rsidR="00C7474A" w:rsidRPr="00C7474A" w:rsidRDefault="00C7474A" w:rsidP="00C7474A">
      <w:pPr>
        <w:rPr>
          <w:rFonts w:cs="Arial"/>
        </w:rPr>
      </w:pPr>
    </w:p>
    <w:p w14:paraId="0A0BAC78" w14:textId="77777777" w:rsidR="00C7474A" w:rsidRPr="00C7474A" w:rsidRDefault="00C7474A" w:rsidP="00C7474A">
      <w:pPr>
        <w:rPr>
          <w:rFonts w:cs="Arial"/>
        </w:rPr>
      </w:pPr>
      <w:r w:rsidRPr="00C7474A">
        <w:rPr>
          <w:rFonts w:cs="Arial"/>
        </w:rPr>
        <w:t xml:space="preserve">According to the Regulation, all food enzymes currently on the EU market, as well as new food enzymes, are subject to a safety evaluation by the European Food Safety Authority (EFSA) and subsequently approved by the European Commission by means of an EU list. Currently, there is no EU list of authorised food enzymes. Until the establishment of such a list (anticipated for release in 2020- 2021), EU countries' legislation applies. </w:t>
      </w:r>
    </w:p>
    <w:p w14:paraId="7CE43A94" w14:textId="77777777" w:rsidR="00C7474A" w:rsidRPr="00C7474A" w:rsidRDefault="00C7474A" w:rsidP="00C7474A">
      <w:pPr>
        <w:tabs>
          <w:tab w:val="left" w:pos="993"/>
        </w:tabs>
      </w:pPr>
    </w:p>
    <w:p w14:paraId="5AA82870" w14:textId="4E387DE9" w:rsidR="00C7474A" w:rsidRPr="00C7474A" w:rsidRDefault="00C7474A" w:rsidP="00C7474A">
      <w:r w:rsidRPr="00C7474A">
        <w:t>The enzyme (beta-fructofuranosidase) is permitted for use in food production in a number of other countries</w:t>
      </w:r>
      <w:r w:rsidR="00B10CF6">
        <w:t>,</w:t>
      </w:r>
      <w:r w:rsidR="00B10CF6" w:rsidRPr="00C7474A">
        <w:t xml:space="preserve"> </w:t>
      </w:r>
      <w:r w:rsidRPr="00C7474A">
        <w:t xml:space="preserve">being the USA, France, Canada and Japan. It </w:t>
      </w:r>
      <w:r w:rsidR="00B10CF6">
        <w:t>is</w:t>
      </w:r>
      <w:r w:rsidRPr="00C7474A">
        <w:t xml:space="preserve"> considered Generally Recognized as safe (GRAS) in the USA. The applicant has been successful in achieving the same </w:t>
      </w:r>
      <w:r w:rsidR="00B10CF6">
        <w:t>permission</w:t>
      </w:r>
      <w:r w:rsidRPr="00C7474A">
        <w:t xml:space="preserve"> requested in this application by updating the permissions for the enzyme to include the microbial source of </w:t>
      </w:r>
      <w:r w:rsidRPr="00C7474A">
        <w:rPr>
          <w:i/>
        </w:rPr>
        <w:t>A. fijiensis</w:t>
      </w:r>
      <w:r w:rsidRPr="00C7474A">
        <w:t xml:space="preserve"> in France and Canada. Currently an application for the same purpose is </w:t>
      </w:r>
      <w:r w:rsidR="00B10CF6">
        <w:t>under assessment by</w:t>
      </w:r>
      <w:r w:rsidR="00B10CF6" w:rsidRPr="00C7474A">
        <w:t xml:space="preserve"> </w:t>
      </w:r>
      <w:r w:rsidRPr="00C7474A">
        <w:t>the EFSA.</w:t>
      </w:r>
    </w:p>
    <w:p w14:paraId="00244774" w14:textId="77777777" w:rsidR="00C7474A" w:rsidRPr="00C7474A" w:rsidRDefault="00C7474A" w:rsidP="00C7474A"/>
    <w:p w14:paraId="0AD5DCCC" w14:textId="77777777" w:rsidR="00C7474A" w:rsidRPr="00C7474A" w:rsidRDefault="00C7474A" w:rsidP="00C7474A">
      <w:r w:rsidRPr="00C7474A">
        <w:t>Codex does not establish standards for processing aids or enzymes. Individual countries regulate the use of enzymes differently to the Code. However, there are internationally recognised specifications for enzymes. These enzyme specifications are established by JECFA and the Food Chemicals Codex as noted above in section 1.3.2.</w:t>
      </w:r>
    </w:p>
    <w:p w14:paraId="75E79CA8" w14:textId="23173F60" w:rsidR="007A53BF" w:rsidRPr="007A53BF" w:rsidRDefault="007A53BF" w:rsidP="00CE59AA">
      <w:pPr>
        <w:pStyle w:val="Heading2"/>
        <w:rPr>
          <w:u w:color="FFFF00"/>
        </w:rPr>
      </w:pPr>
      <w:bookmarkStart w:id="46" w:name="_Toc93328364"/>
      <w:r w:rsidRPr="007A53BF">
        <w:rPr>
          <w:u w:color="FFFF00"/>
        </w:rPr>
        <w:t>1.4</w:t>
      </w:r>
      <w:r w:rsidRPr="007A53BF">
        <w:rPr>
          <w:u w:color="FFFF00"/>
        </w:rPr>
        <w:tab/>
        <w:t xml:space="preserve">Reasons for </w:t>
      </w:r>
      <w:r w:rsidRPr="00C7474A">
        <w:rPr>
          <w:u w:color="FFFF00"/>
        </w:rPr>
        <w:t xml:space="preserve">accepting </w:t>
      </w:r>
      <w:r w:rsidR="00C7474A">
        <w:rPr>
          <w:u w:color="FFFF00"/>
        </w:rPr>
        <w:t>a</w:t>
      </w:r>
      <w:r w:rsidRPr="00C7474A">
        <w:rPr>
          <w:u w:color="FFFF00"/>
        </w:rPr>
        <w:t>pplication</w:t>
      </w:r>
      <w:bookmarkEnd w:id="25"/>
      <w:bookmarkEnd w:id="46"/>
      <w:r w:rsidRPr="00C7474A">
        <w:rPr>
          <w:u w:color="FFFF00"/>
        </w:rPr>
        <w:t xml:space="preserve"> </w:t>
      </w:r>
      <w:bookmarkEnd w:id="26"/>
      <w:bookmarkEnd w:id="27"/>
    </w:p>
    <w:p w14:paraId="2488857F" w14:textId="77777777" w:rsidR="00F51516" w:rsidRPr="00F51516" w:rsidRDefault="00F51516" w:rsidP="00F51516">
      <w:bookmarkStart w:id="47" w:name="_Toc370223469"/>
      <w:bookmarkEnd w:id="28"/>
      <w:r w:rsidRPr="00F51516">
        <w:t>The application was accepted for assessment because:</w:t>
      </w:r>
    </w:p>
    <w:p w14:paraId="24761C80" w14:textId="77777777" w:rsidR="00F51516" w:rsidRPr="00F51516" w:rsidRDefault="00F51516" w:rsidP="00F51516"/>
    <w:p w14:paraId="6230194A" w14:textId="77777777" w:rsidR="00F51516" w:rsidRPr="00F51516" w:rsidRDefault="00F51516" w:rsidP="00F51516">
      <w:pPr>
        <w:pStyle w:val="FSBullet1"/>
      </w:pPr>
      <w:r w:rsidRPr="00F51516">
        <w:t xml:space="preserve">it complied with the procedural requirements under subsection 22(2) of the </w:t>
      </w:r>
      <w:r w:rsidRPr="00F51516">
        <w:rPr>
          <w:i/>
        </w:rPr>
        <w:t>Food Standards Australia New Zealand Act 1991</w:t>
      </w:r>
      <w:r w:rsidRPr="00F51516">
        <w:t xml:space="preserve"> (FSANZ Act)</w:t>
      </w:r>
    </w:p>
    <w:p w14:paraId="6A470DF6" w14:textId="77777777" w:rsidR="00F51516" w:rsidRPr="00F51516" w:rsidRDefault="00F51516" w:rsidP="00F51516">
      <w:pPr>
        <w:pStyle w:val="FSBullet1"/>
      </w:pPr>
      <w:r w:rsidRPr="00F51516">
        <w:t>it related to a matter that warranted the variation of a food regulatory measure.</w:t>
      </w:r>
    </w:p>
    <w:p w14:paraId="45CE9FCF" w14:textId="77777777" w:rsidR="007A53BF" w:rsidRPr="007A53BF" w:rsidRDefault="007A53BF" w:rsidP="00CE59AA">
      <w:pPr>
        <w:pStyle w:val="Heading2"/>
      </w:pPr>
      <w:bookmarkStart w:id="48" w:name="_Toc93328365"/>
      <w:r w:rsidRPr="007A53BF">
        <w:t>1.5</w:t>
      </w:r>
      <w:r w:rsidRPr="007A53BF">
        <w:tab/>
        <w:t>Procedure for assessment</w:t>
      </w:r>
      <w:bookmarkEnd w:id="47"/>
      <w:bookmarkEnd w:id="48"/>
    </w:p>
    <w:p w14:paraId="22D59933" w14:textId="026B23D2" w:rsidR="00AF397D" w:rsidRPr="00F51516" w:rsidRDefault="00AF397D" w:rsidP="00AF397D">
      <w:r w:rsidRPr="00F51516">
        <w:t xml:space="preserve">The </w:t>
      </w:r>
      <w:r w:rsidR="00F51516" w:rsidRPr="00F51516">
        <w:t>a</w:t>
      </w:r>
      <w:r w:rsidRPr="00F51516">
        <w:t>pplication was assessed under the General</w:t>
      </w:r>
      <w:r w:rsidR="00F51516" w:rsidRPr="00F51516">
        <w:t xml:space="preserve"> </w:t>
      </w:r>
      <w:r w:rsidRPr="00F51516">
        <w:t>Procedure.</w:t>
      </w:r>
    </w:p>
    <w:p w14:paraId="7762FA90" w14:textId="77777777" w:rsidR="00422EC9" w:rsidRDefault="007A53BF" w:rsidP="00422EC9">
      <w:pPr>
        <w:pStyle w:val="Heading2"/>
      </w:pPr>
      <w:bookmarkStart w:id="49" w:name="_Toc93328366"/>
      <w:r>
        <w:t>1</w:t>
      </w:r>
      <w:r w:rsidR="00422EC9">
        <w:t>.6</w:t>
      </w:r>
      <w:r w:rsidR="00422EC9">
        <w:tab/>
      </w:r>
      <w:r w:rsidR="00422EC9" w:rsidRPr="00932F14">
        <w:t>Decision</w:t>
      </w:r>
      <w:bookmarkEnd w:id="49"/>
    </w:p>
    <w:p w14:paraId="2B3359A1" w14:textId="63D4BA78" w:rsidR="00401ADE" w:rsidRDefault="00422EC9" w:rsidP="002C1A3B">
      <w:r>
        <w:t xml:space="preserve">The draft </w:t>
      </w:r>
      <w:r w:rsidR="00E30092" w:rsidRPr="00F51516">
        <w:t xml:space="preserve">variation </w:t>
      </w:r>
      <w:r>
        <w:t xml:space="preserve">as proposed following assessment was </w:t>
      </w:r>
      <w:r w:rsidRPr="004E05DD">
        <w:t>approved without change.</w:t>
      </w:r>
      <w:r w:rsidR="002C1A3B" w:rsidRPr="004E05DD">
        <w:t xml:space="preserve"> The</w:t>
      </w:r>
      <w:r w:rsidR="002C1A3B" w:rsidRPr="003A7725">
        <w:t xml:space="preserve"> </w:t>
      </w:r>
      <w:r w:rsidR="002C1A3B" w:rsidRPr="00F51516">
        <w:t>variation</w:t>
      </w:r>
      <w:r w:rsidR="002C1A3B">
        <w:t xml:space="preserve"> </w:t>
      </w:r>
      <w:r w:rsidR="002C1A3B" w:rsidRPr="00D26814">
        <w:t>takes effect on</w:t>
      </w:r>
      <w:r w:rsidR="002C1A3B">
        <w:t xml:space="preserve"> </w:t>
      </w:r>
      <w:r w:rsidR="00F51516">
        <w:t xml:space="preserve">gazettal. </w:t>
      </w:r>
      <w:r>
        <w:t xml:space="preserve">The </w:t>
      </w:r>
      <w:r w:rsidR="002C1A3B">
        <w:t xml:space="preserve">approved </w:t>
      </w:r>
      <w:r>
        <w:t xml:space="preserve">draft </w:t>
      </w:r>
      <w:r w:rsidR="00E30092" w:rsidRPr="00F51516">
        <w:t>variation</w:t>
      </w:r>
      <w:r w:rsidRPr="00F51516">
        <w:t xml:space="preserve"> </w:t>
      </w:r>
      <w:r w:rsidR="005E06C0">
        <w:t xml:space="preserve">is </w:t>
      </w:r>
      <w:r>
        <w:t xml:space="preserve">at </w:t>
      </w:r>
      <w:r w:rsidRPr="007C22CB">
        <w:t xml:space="preserve">Attachment A. </w:t>
      </w:r>
    </w:p>
    <w:p w14:paraId="6C023DF1" w14:textId="77777777" w:rsidR="00401ADE" w:rsidRDefault="00401ADE" w:rsidP="00401ADE"/>
    <w:p w14:paraId="2D0F3931"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3C11E358" w14:textId="77777777" w:rsidR="002C1A3B" w:rsidRPr="00D26814" w:rsidRDefault="002C1A3B" w:rsidP="002C1A3B">
      <w:pPr>
        <w:rPr>
          <w:u w:val="single"/>
        </w:rPr>
      </w:pPr>
    </w:p>
    <w:p w14:paraId="0B6B8474" w14:textId="77777777" w:rsidR="0012388D" w:rsidRDefault="007A53BF" w:rsidP="00755F02">
      <w:pPr>
        <w:pStyle w:val="Heading1"/>
      </w:pPr>
      <w:bookmarkStart w:id="50" w:name="_Toc93328367"/>
      <w:bookmarkStart w:id="51" w:name="_Toc11735630"/>
      <w:bookmarkStart w:id="52" w:name="_Toc29883114"/>
      <w:bookmarkStart w:id="53" w:name="_Toc41906801"/>
      <w:bookmarkStart w:id="54" w:name="_Toc41907548"/>
      <w:bookmarkStart w:id="55" w:name="_Toc120358578"/>
      <w:bookmarkStart w:id="56"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50"/>
    </w:p>
    <w:p w14:paraId="36C513E2" w14:textId="77777777" w:rsidR="007A53BF" w:rsidRPr="002C1A3B" w:rsidRDefault="007A53BF" w:rsidP="007A53BF">
      <w:pPr>
        <w:pStyle w:val="Heading2"/>
      </w:pPr>
      <w:bookmarkStart w:id="57" w:name="_Toc300933438"/>
      <w:bookmarkStart w:id="58" w:name="_Toc370223471"/>
      <w:bookmarkStart w:id="59" w:name="_Toc370225386"/>
      <w:bookmarkStart w:id="60" w:name="_Toc93328368"/>
      <w:bookmarkStart w:id="61" w:name="_Toc286391009"/>
      <w:bookmarkStart w:id="62" w:name="_Toc300933425"/>
      <w:bookmarkStart w:id="63" w:name="_Toc309291838"/>
      <w:bookmarkStart w:id="64" w:name="_Toc309385455"/>
      <w:bookmarkStart w:id="65" w:name="_Toc120358583"/>
      <w:bookmarkStart w:id="66" w:name="_Toc175381440"/>
      <w:r w:rsidRPr="002C1A3B">
        <w:t>2.1</w:t>
      </w:r>
      <w:r w:rsidRPr="002C1A3B">
        <w:tab/>
        <w:t xml:space="preserve">Summary of issues raised </w:t>
      </w:r>
      <w:bookmarkEnd w:id="57"/>
      <w:r w:rsidRPr="002C1A3B">
        <w:t>in submissions</w:t>
      </w:r>
      <w:bookmarkEnd w:id="58"/>
      <w:bookmarkEnd w:id="59"/>
      <w:bookmarkEnd w:id="60"/>
    </w:p>
    <w:p w14:paraId="651B03FC" w14:textId="2DA7A632" w:rsidR="00A9735E" w:rsidRDefault="00A9735E" w:rsidP="00A9735E">
      <w:pPr>
        <w:rPr>
          <w:lang w:bidi="ar-SA"/>
        </w:rPr>
      </w:pPr>
      <w:r w:rsidRPr="00A9735E">
        <w:rPr>
          <w:lang w:bidi="ar-SA"/>
        </w:rPr>
        <w:t xml:space="preserve">FSANZ sought public comments on the draft variation included in the call for submissions report between </w:t>
      </w:r>
      <w:r>
        <w:rPr>
          <w:lang w:bidi="ar-SA"/>
        </w:rPr>
        <w:t>4 November</w:t>
      </w:r>
      <w:r w:rsidRPr="00A9735E">
        <w:rPr>
          <w:lang w:bidi="ar-SA"/>
        </w:rPr>
        <w:t xml:space="preserve"> 2021 and </w:t>
      </w:r>
      <w:r>
        <w:rPr>
          <w:lang w:bidi="ar-SA"/>
        </w:rPr>
        <w:t>16</w:t>
      </w:r>
      <w:r w:rsidRPr="00A9735E">
        <w:rPr>
          <w:lang w:bidi="ar-SA"/>
        </w:rPr>
        <w:t xml:space="preserve"> </w:t>
      </w:r>
      <w:r>
        <w:rPr>
          <w:lang w:bidi="ar-SA"/>
        </w:rPr>
        <w:t>Dece</w:t>
      </w:r>
      <w:r w:rsidRPr="00A9735E">
        <w:rPr>
          <w:lang w:bidi="ar-SA"/>
        </w:rPr>
        <w:t xml:space="preserve">mber 2021. </w:t>
      </w:r>
    </w:p>
    <w:p w14:paraId="139FA748" w14:textId="47D0519A" w:rsidR="00A9735E" w:rsidRDefault="00A9735E" w:rsidP="00A9735E">
      <w:pPr>
        <w:rPr>
          <w:lang w:bidi="ar-SA"/>
        </w:rPr>
      </w:pPr>
    </w:p>
    <w:p w14:paraId="50B9AF3C" w14:textId="0F33DBCF" w:rsidR="004E05DD" w:rsidRPr="004E05DD" w:rsidRDefault="004E05DD" w:rsidP="004E05DD">
      <w:r>
        <w:t>Three</w:t>
      </w:r>
      <w:r w:rsidRPr="007A1738">
        <w:t xml:space="preserve"> submissions</w:t>
      </w:r>
      <w:r>
        <w:t xml:space="preserve"> were received – two</w:t>
      </w:r>
      <w:r w:rsidRPr="007A1738">
        <w:t xml:space="preserve"> from government agencies and </w:t>
      </w:r>
      <w:r>
        <w:t>one</w:t>
      </w:r>
      <w:r w:rsidRPr="007A1738">
        <w:t xml:space="preserve"> from an industry group</w:t>
      </w:r>
      <w:r>
        <w:t xml:space="preserve">. </w:t>
      </w:r>
      <w:r w:rsidRPr="004E05DD">
        <w:t xml:space="preserve">All supported the draft variation and did not raise any issues related to the application. </w:t>
      </w:r>
      <w:r>
        <w:t>The summary of submissions received and FSANZ’s response is provided in Table 1.</w:t>
      </w:r>
    </w:p>
    <w:p w14:paraId="44ED9FB4" w14:textId="77777777" w:rsidR="00A9735E" w:rsidRPr="00A9735E" w:rsidRDefault="00A9735E" w:rsidP="007A53BF">
      <w:pPr>
        <w:pStyle w:val="FSTableTitle"/>
        <w:rPr>
          <w:b w:val="0"/>
        </w:rPr>
      </w:pPr>
    </w:p>
    <w:p w14:paraId="4198925A" w14:textId="24D971C0" w:rsidR="007A53BF" w:rsidRDefault="007A53BF" w:rsidP="007A53BF">
      <w:pPr>
        <w:pStyle w:val="FSTableTitle"/>
      </w:pPr>
      <w:r>
        <w:t xml:space="preserve">Table 1: Summary of issues </w:t>
      </w:r>
    </w:p>
    <w:p w14:paraId="15336AF4" w14:textId="77777777"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410"/>
        <w:gridCol w:w="1977"/>
      </w:tblGrid>
      <w:tr w:rsidR="00A9735E" w:rsidRPr="00A9735E" w14:paraId="62122DE9" w14:textId="77777777" w:rsidTr="00F74BD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none" w:sz="0" w:space="0" w:color="auto"/>
              <w:right w:val="none" w:sz="0" w:space="0" w:color="auto"/>
            </w:tcBorders>
          </w:tcPr>
          <w:p w14:paraId="709AC776" w14:textId="77777777" w:rsidR="007A53BF" w:rsidRPr="00A9735E" w:rsidRDefault="007A53BF" w:rsidP="008C4E76">
            <w:pPr>
              <w:pStyle w:val="FSTableHeading"/>
              <w:rPr>
                <w:b/>
                <w:color w:val="auto"/>
              </w:rPr>
            </w:pPr>
            <w:r w:rsidRPr="00A9735E">
              <w:rPr>
                <w:b/>
                <w:color w:val="auto"/>
              </w:rPr>
              <w:t>Issue</w:t>
            </w:r>
          </w:p>
        </w:tc>
        <w:tc>
          <w:tcPr>
            <w:tcW w:w="2410" w:type="dxa"/>
            <w:tcBorders>
              <w:top w:val="none" w:sz="0" w:space="0" w:color="auto"/>
              <w:left w:val="none" w:sz="0" w:space="0" w:color="auto"/>
              <w:bottom w:val="none" w:sz="0" w:space="0" w:color="auto"/>
              <w:right w:val="none" w:sz="0" w:space="0" w:color="auto"/>
            </w:tcBorders>
          </w:tcPr>
          <w:p w14:paraId="7CE2FC3D" w14:textId="77777777" w:rsidR="007A53BF" w:rsidRPr="00A9735E"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A9735E">
              <w:rPr>
                <w:b/>
                <w:color w:val="auto"/>
              </w:rPr>
              <w:t>Raised by</w:t>
            </w:r>
          </w:p>
        </w:tc>
        <w:tc>
          <w:tcPr>
            <w:tcW w:w="1977" w:type="dxa"/>
            <w:tcBorders>
              <w:top w:val="none" w:sz="0" w:space="0" w:color="auto"/>
              <w:left w:val="none" w:sz="0" w:space="0" w:color="auto"/>
              <w:bottom w:val="none" w:sz="0" w:space="0" w:color="auto"/>
              <w:right w:val="none" w:sz="0" w:space="0" w:color="auto"/>
            </w:tcBorders>
          </w:tcPr>
          <w:p w14:paraId="2AF3B276" w14:textId="08AE31E5" w:rsidR="001D43F6" w:rsidRPr="00A9735E" w:rsidRDefault="007A53BF" w:rsidP="004E05DD">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A9735E">
              <w:rPr>
                <w:b/>
                <w:color w:val="auto"/>
              </w:rPr>
              <w:t>FSANZ response</w:t>
            </w:r>
          </w:p>
        </w:tc>
      </w:tr>
      <w:tr w:rsidR="007A53BF" w:rsidRPr="004E05DD" w14:paraId="04838FBA" w14:textId="77777777" w:rsidTr="00F74BD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6E7823B3" w14:textId="3D4F540D" w:rsidR="007A53BF" w:rsidRPr="004E05DD" w:rsidRDefault="004E05DD" w:rsidP="008C4E76">
            <w:pPr>
              <w:pStyle w:val="FSTableText"/>
              <w:rPr>
                <w:b w:val="0"/>
              </w:rPr>
            </w:pPr>
            <w:r w:rsidRPr="004E05DD">
              <w:rPr>
                <w:b w:val="0"/>
              </w:rPr>
              <w:t xml:space="preserve">It supports the </w:t>
            </w:r>
            <w:r>
              <w:rPr>
                <w:b w:val="0"/>
              </w:rPr>
              <w:t>current application like it had the earlier application, A</w:t>
            </w:r>
            <w:r w:rsidR="00F74BD4">
              <w:rPr>
                <w:b w:val="0"/>
              </w:rPr>
              <w:t xml:space="preserve">1055, for the use of FOS as a nutritive substance and the use of the </w:t>
            </w:r>
            <w:r w:rsidR="00F74BD4" w:rsidRPr="00F74BD4">
              <w:rPr>
                <w:b w:val="0"/>
              </w:rPr>
              <w:t>beta-fructofuranosidase</w:t>
            </w:r>
            <w:r w:rsidR="00F74BD4" w:rsidRPr="003D0D5A">
              <w:t xml:space="preserve"> </w:t>
            </w:r>
            <w:r w:rsidR="00F74BD4">
              <w:rPr>
                <w:b w:val="0"/>
              </w:rPr>
              <w:t xml:space="preserve">enzyme for the production of FOS. It notes there are no public health and safety concerns identified. The strain of </w:t>
            </w:r>
            <w:r w:rsidR="00F74BD4" w:rsidRPr="00F74BD4">
              <w:rPr>
                <w:b w:val="0"/>
                <w:i/>
              </w:rPr>
              <w:t>A. fijiensis</w:t>
            </w:r>
            <w:r w:rsidR="00F74BD4">
              <w:rPr>
                <w:b w:val="0"/>
              </w:rPr>
              <w:t xml:space="preserve"> is neither toxigenic or pathogenic. The enzyme is also approved for use in Canada and France and being considered in Europe.</w:t>
            </w:r>
          </w:p>
        </w:tc>
        <w:tc>
          <w:tcPr>
            <w:tcW w:w="2410" w:type="dxa"/>
            <w:tcBorders>
              <w:left w:val="none" w:sz="0" w:space="0" w:color="auto"/>
              <w:right w:val="none" w:sz="0" w:space="0" w:color="auto"/>
            </w:tcBorders>
          </w:tcPr>
          <w:p w14:paraId="11FE84FD" w14:textId="64F9D8C9" w:rsidR="007A53BF" w:rsidRPr="004E05DD" w:rsidRDefault="00F74BD4" w:rsidP="008C4E76">
            <w:pPr>
              <w:pStyle w:val="FSTableText"/>
              <w:cnfStyle w:val="000000100000" w:firstRow="0" w:lastRow="0" w:firstColumn="0" w:lastColumn="0" w:oddVBand="0" w:evenVBand="0" w:oddHBand="1" w:evenHBand="0" w:firstRowFirstColumn="0" w:firstRowLastColumn="0" w:lastRowFirstColumn="0" w:lastRowLastColumn="0"/>
            </w:pPr>
            <w:r>
              <w:t>New Zealand Food &amp; Grocery Council</w:t>
            </w:r>
          </w:p>
        </w:tc>
        <w:tc>
          <w:tcPr>
            <w:tcW w:w="1977" w:type="dxa"/>
            <w:tcBorders>
              <w:left w:val="none" w:sz="0" w:space="0" w:color="auto"/>
            </w:tcBorders>
          </w:tcPr>
          <w:p w14:paraId="6C40943B" w14:textId="53B3A036" w:rsidR="007A53BF" w:rsidRPr="004E05DD" w:rsidRDefault="00F74BD4" w:rsidP="008C4E76">
            <w:pPr>
              <w:pStyle w:val="FSTableText"/>
              <w:cnfStyle w:val="000000100000" w:firstRow="0" w:lastRow="0" w:firstColumn="0" w:lastColumn="0" w:oddVBand="0" w:evenVBand="0" w:oddHBand="1" w:evenHBand="0" w:firstRowFirstColumn="0" w:firstRowLastColumn="0" w:lastRowFirstColumn="0" w:lastRowLastColumn="0"/>
            </w:pPr>
            <w:r>
              <w:t>The support is noted.</w:t>
            </w:r>
          </w:p>
        </w:tc>
      </w:tr>
      <w:tr w:rsidR="007A53BF" w:rsidRPr="004E05DD" w14:paraId="335F301A" w14:textId="77777777" w:rsidTr="00F74BD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right w:val="none" w:sz="0" w:space="0" w:color="auto"/>
            </w:tcBorders>
          </w:tcPr>
          <w:p w14:paraId="462D8273" w14:textId="2B06A8A9" w:rsidR="007A53BF" w:rsidRPr="004E05DD" w:rsidRDefault="00987469" w:rsidP="008C4E76">
            <w:pPr>
              <w:pStyle w:val="FSTableText"/>
              <w:rPr>
                <w:b w:val="0"/>
              </w:rPr>
            </w:pPr>
            <w:r w:rsidRPr="00987469">
              <w:rPr>
                <w:b w:val="0"/>
              </w:rPr>
              <w:t xml:space="preserve">When the FSANZ Act is amended to create new pathways and approaches to expedite low-risk amendments to food standards we will be pleased to </w:t>
            </w:r>
            <w:r w:rsidRPr="00987469">
              <w:rPr>
                <w:b w:val="0"/>
                <w:u w:val="single"/>
              </w:rPr>
              <w:t>not</w:t>
            </w:r>
            <w:r w:rsidRPr="00987469">
              <w:rPr>
                <w:b w:val="0"/>
              </w:rPr>
              <w:t xml:space="preserve"> see these kinds of applications requiring public submission. This facility was discussed in the May 2021 consultation where we supported an amendment that would deliver such an outcome as well as new pathways to adopt international standards relevant to the Food Standards Code.</w:t>
            </w:r>
          </w:p>
        </w:tc>
        <w:tc>
          <w:tcPr>
            <w:tcW w:w="2410" w:type="dxa"/>
            <w:tcBorders>
              <w:left w:val="none" w:sz="0" w:space="0" w:color="auto"/>
              <w:right w:val="none" w:sz="0" w:space="0" w:color="auto"/>
            </w:tcBorders>
          </w:tcPr>
          <w:p w14:paraId="5AF2523D" w14:textId="2F5B8EC3" w:rsidR="007A53BF" w:rsidRPr="004E05DD" w:rsidRDefault="00987469" w:rsidP="008C4E76">
            <w:pPr>
              <w:pStyle w:val="FSTableText"/>
              <w:cnfStyle w:val="000000010000" w:firstRow="0" w:lastRow="0" w:firstColumn="0" w:lastColumn="0" w:oddVBand="0" w:evenVBand="0" w:oddHBand="0" w:evenHBand="1" w:firstRowFirstColumn="0" w:firstRowLastColumn="0" w:lastRowFirstColumn="0" w:lastRowLastColumn="0"/>
            </w:pPr>
            <w:r>
              <w:t>New Zealand Food &amp; Grocery Council</w:t>
            </w:r>
          </w:p>
        </w:tc>
        <w:tc>
          <w:tcPr>
            <w:tcW w:w="1977" w:type="dxa"/>
            <w:tcBorders>
              <w:left w:val="none" w:sz="0" w:space="0" w:color="auto"/>
            </w:tcBorders>
          </w:tcPr>
          <w:p w14:paraId="2874665F" w14:textId="713A48A5" w:rsidR="000F76B0" w:rsidRDefault="00987469" w:rsidP="00E44042">
            <w:pPr>
              <w:pStyle w:val="FSTableText"/>
              <w:cnfStyle w:val="000000010000" w:firstRow="0" w:lastRow="0" w:firstColumn="0" w:lastColumn="0" w:oddVBand="0" w:evenVBand="0" w:oddHBand="0" w:evenHBand="1" w:firstRowFirstColumn="0" w:firstRowLastColumn="0" w:lastRowFirstColumn="0" w:lastRowLastColumn="0"/>
            </w:pPr>
            <w:r>
              <w:t xml:space="preserve">The comment is noted but </w:t>
            </w:r>
            <w:r w:rsidR="000F76B0">
              <w:t xml:space="preserve">is </w:t>
            </w:r>
            <w:r>
              <w:t>outside the scope of the application.</w:t>
            </w:r>
          </w:p>
          <w:p w14:paraId="424541B2" w14:textId="77777777" w:rsidR="000F76B0" w:rsidRDefault="000F76B0" w:rsidP="00E44042">
            <w:pPr>
              <w:pStyle w:val="FSTableText"/>
              <w:cnfStyle w:val="000000010000" w:firstRow="0" w:lastRow="0" w:firstColumn="0" w:lastColumn="0" w:oddVBand="0" w:evenVBand="0" w:oddHBand="0" w:evenHBand="1" w:firstRowFirstColumn="0" w:firstRowLastColumn="0" w:lastRowFirstColumn="0" w:lastRowLastColumn="0"/>
            </w:pPr>
          </w:p>
          <w:p w14:paraId="1D49CD8C" w14:textId="72323E2A" w:rsidR="007A53BF" w:rsidRPr="004E05DD" w:rsidRDefault="000F76B0" w:rsidP="000F76B0">
            <w:pPr>
              <w:pStyle w:val="FSTableText"/>
              <w:cnfStyle w:val="000000010000" w:firstRow="0" w:lastRow="0" w:firstColumn="0" w:lastColumn="0" w:oddVBand="0" w:evenVBand="0" w:oddHBand="0" w:evenHBand="1" w:firstRowFirstColumn="0" w:firstRowLastColumn="0" w:lastRowFirstColumn="0" w:lastRowLastColumn="0"/>
            </w:pPr>
            <w:r>
              <w:t>The FSANZ Act (including any amendment of that Act) is administered by the Commonwealth Department of Health.</w:t>
            </w:r>
            <w:r w:rsidDel="000F76B0">
              <w:t xml:space="preserve"> </w:t>
            </w:r>
          </w:p>
        </w:tc>
      </w:tr>
      <w:tr w:rsidR="007A53BF" w:rsidRPr="004E05DD" w14:paraId="07197416" w14:textId="77777777" w:rsidTr="0098746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bottom w:val="single" w:sz="4" w:space="0" w:color="auto"/>
              <w:right w:val="none" w:sz="0" w:space="0" w:color="auto"/>
            </w:tcBorders>
          </w:tcPr>
          <w:p w14:paraId="65C530C8" w14:textId="599CCA32" w:rsidR="007A53BF" w:rsidRPr="004E05DD" w:rsidRDefault="00987469" w:rsidP="008C4E76">
            <w:pPr>
              <w:pStyle w:val="FSTableText"/>
              <w:rPr>
                <w:b w:val="0"/>
              </w:rPr>
            </w:pPr>
            <w:r>
              <w:rPr>
                <w:b w:val="0"/>
              </w:rPr>
              <w:t>It supports the application. It notes that no public health and safety concerns were identified. The approval is at the strain level of the microorganism rather than the species level due to limitations with available data. It further notes that labelling requirements will apply if soy is present in a food for sale to inform allergic individuals.</w:t>
            </w:r>
          </w:p>
        </w:tc>
        <w:tc>
          <w:tcPr>
            <w:tcW w:w="2410" w:type="dxa"/>
            <w:tcBorders>
              <w:left w:val="none" w:sz="0" w:space="0" w:color="auto"/>
              <w:bottom w:val="single" w:sz="4" w:space="0" w:color="auto"/>
              <w:right w:val="none" w:sz="0" w:space="0" w:color="auto"/>
            </w:tcBorders>
          </w:tcPr>
          <w:p w14:paraId="58ED529B" w14:textId="3F2FB82F" w:rsidR="007A53BF" w:rsidRPr="004E05DD" w:rsidRDefault="00987469" w:rsidP="008C4E76">
            <w:pPr>
              <w:pStyle w:val="FSTableText"/>
              <w:cnfStyle w:val="000000100000" w:firstRow="0" w:lastRow="0" w:firstColumn="0" w:lastColumn="0" w:oddVBand="0" w:evenVBand="0" w:oddHBand="1" w:evenHBand="0" w:firstRowFirstColumn="0" w:firstRowLastColumn="0" w:lastRowFirstColumn="0" w:lastRowLastColumn="0"/>
            </w:pPr>
            <w:r>
              <w:t>New Zealand Food Safety</w:t>
            </w:r>
          </w:p>
        </w:tc>
        <w:tc>
          <w:tcPr>
            <w:tcW w:w="1977" w:type="dxa"/>
            <w:tcBorders>
              <w:left w:val="none" w:sz="0" w:space="0" w:color="auto"/>
              <w:bottom w:val="single" w:sz="4" w:space="0" w:color="auto"/>
            </w:tcBorders>
          </w:tcPr>
          <w:p w14:paraId="2386D801" w14:textId="54FFDA8D" w:rsidR="007A53BF" w:rsidRPr="004E05DD" w:rsidRDefault="00987469" w:rsidP="008C4E76">
            <w:pPr>
              <w:pStyle w:val="FSTableText"/>
              <w:cnfStyle w:val="000000100000" w:firstRow="0" w:lastRow="0" w:firstColumn="0" w:lastColumn="0" w:oddVBand="0" w:evenVBand="0" w:oddHBand="1" w:evenHBand="0" w:firstRowFirstColumn="0" w:firstRowLastColumn="0" w:lastRowFirstColumn="0" w:lastRowLastColumn="0"/>
            </w:pPr>
            <w:r>
              <w:t>The support is noted.</w:t>
            </w:r>
          </w:p>
        </w:tc>
      </w:tr>
      <w:tr w:rsidR="00987469" w:rsidRPr="004E05DD" w14:paraId="26A48E3C" w14:textId="77777777" w:rsidTr="0098746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673" w:type="dxa"/>
            <w:tcBorders>
              <w:bottom w:val="single" w:sz="4" w:space="0" w:color="auto"/>
              <w:right w:val="single" w:sz="4" w:space="0" w:color="auto"/>
            </w:tcBorders>
          </w:tcPr>
          <w:p w14:paraId="470CC71C" w14:textId="72955569" w:rsidR="00987469" w:rsidRDefault="00E01581" w:rsidP="008C4E76">
            <w:pPr>
              <w:pStyle w:val="FSTableText"/>
            </w:pPr>
            <w:r>
              <w:rPr>
                <w:b w:val="0"/>
              </w:rPr>
              <w:t>It supports the application. It notes that no public health and safety concerns were identified. The production strain of the microorganism is nontoxigenic and non-pathogenic. The enzyme has received approvals in the USA, France, Canada and Japan.</w:t>
            </w:r>
          </w:p>
        </w:tc>
        <w:tc>
          <w:tcPr>
            <w:tcW w:w="2410" w:type="dxa"/>
            <w:tcBorders>
              <w:left w:val="single" w:sz="4" w:space="0" w:color="auto"/>
              <w:bottom w:val="single" w:sz="4" w:space="0" w:color="auto"/>
              <w:right w:val="single" w:sz="4" w:space="0" w:color="auto"/>
            </w:tcBorders>
          </w:tcPr>
          <w:p w14:paraId="503F5BCE" w14:textId="21F88FA5" w:rsidR="00987469" w:rsidRDefault="00E01581" w:rsidP="008C4E76">
            <w:pPr>
              <w:pStyle w:val="FSTableText"/>
              <w:cnfStyle w:val="000000010000" w:firstRow="0" w:lastRow="0" w:firstColumn="0" w:lastColumn="0" w:oddVBand="0" w:evenVBand="0" w:oddHBand="0" w:evenHBand="1" w:firstRowFirstColumn="0" w:firstRowLastColumn="0" w:lastRowFirstColumn="0" w:lastRowLastColumn="0"/>
            </w:pPr>
            <w:r>
              <w:t>The Victorian Department of Health and the Victorian Department of Jobs, Precincts and Regions</w:t>
            </w:r>
          </w:p>
        </w:tc>
        <w:tc>
          <w:tcPr>
            <w:tcW w:w="1977" w:type="dxa"/>
            <w:tcBorders>
              <w:left w:val="single" w:sz="4" w:space="0" w:color="auto"/>
              <w:bottom w:val="single" w:sz="4" w:space="0" w:color="auto"/>
            </w:tcBorders>
          </w:tcPr>
          <w:p w14:paraId="29B1D77D" w14:textId="56E0AB57" w:rsidR="00987469" w:rsidRDefault="00987469" w:rsidP="008C4E76">
            <w:pPr>
              <w:pStyle w:val="FSTableText"/>
              <w:cnfStyle w:val="000000010000" w:firstRow="0" w:lastRow="0" w:firstColumn="0" w:lastColumn="0" w:oddVBand="0" w:evenVBand="0" w:oddHBand="0" w:evenHBand="1" w:firstRowFirstColumn="0" w:firstRowLastColumn="0" w:lastRowFirstColumn="0" w:lastRowLastColumn="0"/>
            </w:pPr>
            <w:r>
              <w:t>The support is noted.</w:t>
            </w:r>
          </w:p>
        </w:tc>
      </w:tr>
    </w:tbl>
    <w:p w14:paraId="65F3F4FB" w14:textId="77777777" w:rsidR="00A9735E" w:rsidRDefault="00A9735E" w:rsidP="00A9735E">
      <w:bookmarkStart w:id="67" w:name="_Toc370223472"/>
      <w:bookmarkStart w:id="68" w:name="_Toc370225387"/>
      <w:bookmarkStart w:id="69" w:name="_Toc309291812"/>
      <w:bookmarkStart w:id="70" w:name="_Toc175381442"/>
      <w:bookmarkEnd w:id="61"/>
      <w:bookmarkEnd w:id="62"/>
      <w:bookmarkEnd w:id="63"/>
      <w:bookmarkEnd w:id="64"/>
      <w:bookmarkEnd w:id="65"/>
      <w:bookmarkEnd w:id="66"/>
    </w:p>
    <w:p w14:paraId="2D0BF99D" w14:textId="22793856" w:rsidR="002C1A3B" w:rsidRPr="00932F14" w:rsidRDefault="002C1A3B" w:rsidP="002C1A3B">
      <w:pPr>
        <w:pStyle w:val="Heading2"/>
      </w:pPr>
      <w:bookmarkStart w:id="71" w:name="_Toc93328369"/>
      <w:r>
        <w:t>2.2</w:t>
      </w:r>
      <w:r>
        <w:tab/>
      </w:r>
      <w:r w:rsidRPr="00932F14">
        <w:t xml:space="preserve">Risk </w:t>
      </w:r>
      <w:r>
        <w:t>a</w:t>
      </w:r>
      <w:r w:rsidRPr="00932F14">
        <w:t>ssessment</w:t>
      </w:r>
      <w:bookmarkEnd w:id="67"/>
      <w:bookmarkEnd w:id="68"/>
      <w:bookmarkEnd w:id="71"/>
      <w:r w:rsidRPr="00932F14">
        <w:t xml:space="preserve"> </w:t>
      </w:r>
    </w:p>
    <w:p w14:paraId="332A0888" w14:textId="77777777" w:rsidR="00A9735E" w:rsidRPr="00A9735E" w:rsidRDefault="00A9735E" w:rsidP="00A9735E">
      <w:pPr>
        <w:rPr>
          <w:lang w:bidi="ar-SA"/>
        </w:rPr>
      </w:pPr>
      <w:bookmarkStart w:id="72" w:name="_Toc370223473"/>
      <w:bookmarkStart w:id="73" w:name="_Toc370225388"/>
      <w:bookmarkStart w:id="74" w:name="_Toc175381450"/>
      <w:bookmarkEnd w:id="69"/>
      <w:bookmarkEnd w:id="70"/>
      <w:r w:rsidRPr="00A9735E">
        <w:t xml:space="preserve">FSANZ has assessed the public health and safety risks associated with the use of the enzyme beta-fructofuranosidase derived from </w:t>
      </w:r>
      <w:r w:rsidRPr="00A9735E">
        <w:rPr>
          <w:i/>
        </w:rPr>
        <w:t>A. fijiensis</w:t>
      </w:r>
      <w:r w:rsidRPr="00A9735E">
        <w:t xml:space="preserve"> (as the species requested by the applicant) as a processing aid in food (see</w:t>
      </w:r>
      <w:r w:rsidRPr="00A9735E">
        <w:rPr>
          <w:lang w:bidi="ar-SA"/>
        </w:rPr>
        <w:t xml:space="preserve"> SD1). The summary of this risk assessment is </w:t>
      </w:r>
      <w:r w:rsidRPr="00A9735E">
        <w:rPr>
          <w:lang w:bidi="ar-SA"/>
        </w:rPr>
        <w:lastRenderedPageBreak/>
        <w:t>provided below.</w:t>
      </w:r>
    </w:p>
    <w:p w14:paraId="6E962A5C" w14:textId="77777777" w:rsidR="00A9735E" w:rsidRPr="00A9735E" w:rsidRDefault="00A9735E" w:rsidP="00A9735E">
      <w:pPr>
        <w:rPr>
          <w:lang w:bidi="ar-SA"/>
        </w:rPr>
      </w:pPr>
    </w:p>
    <w:p w14:paraId="11E40D47" w14:textId="77777777" w:rsidR="00A9735E" w:rsidRPr="00A9735E" w:rsidRDefault="00A9735E" w:rsidP="00A9735E">
      <w:pPr>
        <w:rPr>
          <w:lang w:bidi="ar-SA"/>
        </w:rPr>
      </w:pPr>
      <w:r w:rsidRPr="00A9735E">
        <w:rPr>
          <w:rFonts w:cs="Arial"/>
          <w:lang w:val="en-AU" w:bidi="ar-SA"/>
        </w:rPr>
        <w:t>The enzyme meets international purity specifications.</w:t>
      </w:r>
    </w:p>
    <w:p w14:paraId="74DE0806" w14:textId="77777777" w:rsidR="00A9735E" w:rsidRPr="00A9735E" w:rsidRDefault="00A9735E" w:rsidP="00A9735E">
      <w:pPr>
        <w:rPr>
          <w:lang w:bidi="ar-SA"/>
        </w:rPr>
      </w:pPr>
    </w:p>
    <w:p w14:paraId="04E6C6F8" w14:textId="69CDE8E1" w:rsidR="00A9735E" w:rsidRPr="00A9735E" w:rsidRDefault="00A9735E" w:rsidP="00A9735E">
      <w:pPr>
        <w:rPr>
          <w:lang w:bidi="ar-SA"/>
        </w:rPr>
      </w:pPr>
      <w:r w:rsidRPr="00A9735E">
        <w:t>No public health and safety concerns were identified in the assessment of b</w:t>
      </w:r>
      <w:r w:rsidRPr="00A9735E">
        <w:rPr>
          <w:lang w:val="en-AU"/>
        </w:rPr>
        <w:t xml:space="preserve">eta-fructofuranosidase derived from </w:t>
      </w:r>
      <w:r w:rsidRPr="00A9735E">
        <w:rPr>
          <w:rFonts w:cs="Arial"/>
          <w:i/>
          <w:iCs/>
          <w:color w:val="000000" w:themeColor="text1"/>
          <w:szCs w:val="22"/>
        </w:rPr>
        <w:t>A. fijiensis</w:t>
      </w:r>
      <w:r w:rsidRPr="00A9735E">
        <w:rPr>
          <w:rFonts w:cs="Arial"/>
          <w:color w:val="000000" w:themeColor="text1"/>
          <w:szCs w:val="22"/>
        </w:rPr>
        <w:t xml:space="preserve"> </w:t>
      </w:r>
      <w:r w:rsidRPr="00A9735E">
        <w:t xml:space="preserve">as an enzyme for food processing. The strain </w:t>
      </w:r>
      <w:r w:rsidRPr="00A9735E">
        <w:rPr>
          <w:rFonts w:cs="Arial"/>
          <w:i/>
          <w:iCs/>
          <w:color w:val="000000" w:themeColor="text1"/>
          <w:szCs w:val="22"/>
        </w:rPr>
        <w:t>A</w:t>
      </w:r>
      <w:r w:rsidR="002F5E5B" w:rsidRPr="00A9735E">
        <w:rPr>
          <w:rFonts w:cs="Arial"/>
          <w:i/>
          <w:iCs/>
          <w:color w:val="000000" w:themeColor="text1"/>
          <w:szCs w:val="22"/>
        </w:rPr>
        <w:t>.</w:t>
      </w:r>
      <w:r w:rsidR="002F5E5B">
        <w:rPr>
          <w:rFonts w:cs="Arial"/>
          <w:i/>
          <w:iCs/>
          <w:color w:val="000000" w:themeColor="text1"/>
          <w:szCs w:val="22"/>
        </w:rPr>
        <w:t> </w:t>
      </w:r>
      <w:r w:rsidRPr="00A9735E">
        <w:rPr>
          <w:rFonts w:cs="Arial"/>
          <w:i/>
          <w:iCs/>
          <w:color w:val="000000" w:themeColor="text1"/>
          <w:szCs w:val="22"/>
        </w:rPr>
        <w:t>fijiensis</w:t>
      </w:r>
      <w:r w:rsidRPr="00A9735E">
        <w:rPr>
          <w:rFonts w:cs="Arial"/>
          <w:color w:val="000000" w:themeColor="text1"/>
          <w:szCs w:val="22"/>
        </w:rPr>
        <w:t xml:space="preserve"> ATCC 20611</w:t>
      </w:r>
      <w:r w:rsidRPr="00A9735E">
        <w:rPr>
          <w:lang w:bidi="ar-SA"/>
        </w:rPr>
        <w:t xml:space="preserve"> is neither toxigenic nor pathogenic </w:t>
      </w:r>
      <w:r w:rsidRPr="00A9735E">
        <w:rPr>
          <w:rFonts w:cs="Arial"/>
          <w:color w:val="000000" w:themeColor="text1"/>
          <w:szCs w:val="22"/>
        </w:rPr>
        <w:t>(specifically for the strain ATCC 20611</w:t>
      </w:r>
      <w:r w:rsidRPr="00A9735E">
        <w:t>, see section 2.</w:t>
      </w:r>
      <w:r w:rsidR="00D35CE9">
        <w:t>3</w:t>
      </w:r>
      <w:r w:rsidRPr="00A9735E">
        <w:t>.2 below explaining why the strain was specified)</w:t>
      </w:r>
      <w:r w:rsidRPr="00A9735E">
        <w:rPr>
          <w:lang w:bidi="ar-SA"/>
        </w:rPr>
        <w:t>.</w:t>
      </w:r>
    </w:p>
    <w:p w14:paraId="246BC414" w14:textId="77777777" w:rsidR="00A9735E" w:rsidRPr="00A9735E" w:rsidRDefault="00A9735E" w:rsidP="00A9735E">
      <w:pPr>
        <w:rPr>
          <w:lang w:bidi="ar-SA"/>
        </w:rPr>
      </w:pPr>
    </w:p>
    <w:p w14:paraId="554DFEA4" w14:textId="77777777" w:rsidR="00A9735E" w:rsidRPr="00A9735E" w:rsidRDefault="00A9735E" w:rsidP="00A9735E">
      <w:r w:rsidRPr="00A9735E">
        <w:rPr>
          <w:lang w:bidi="ar-SA"/>
        </w:rPr>
        <w:t>The no observed adverse effect level (NOAEL) in a 13-week repeated dose oral toxicity study in rats was the highest dose tested and corresponds to</w:t>
      </w:r>
      <w:r w:rsidRPr="00A9735E">
        <w:t xml:space="preserve"> 920 mg/kg bw/day </w:t>
      </w:r>
      <w:r w:rsidRPr="00A9735E">
        <w:rPr>
          <w:lang w:bidi="ar-SA"/>
        </w:rPr>
        <w:t>total organic solids (TOS)</w:t>
      </w:r>
      <w:r w:rsidRPr="00A9735E">
        <w:t>. The theoretical maximum daily intake (TMDI) was calculated to be 0.52 mg/kg bw/day TOS for adults and 0.19 mg/kg bw/day for children. Comparison of the NOAEL and the calculated TMDIs gives a Margin of Exposure (MOE) of more than 1,700 for adults and 4,900 for children.</w:t>
      </w:r>
    </w:p>
    <w:p w14:paraId="2C2ECF71" w14:textId="77777777" w:rsidR="00A9735E" w:rsidRPr="00A9735E" w:rsidRDefault="00A9735E" w:rsidP="00A9735E">
      <w:pPr>
        <w:rPr>
          <w:lang w:val="en-AU"/>
        </w:rPr>
      </w:pPr>
    </w:p>
    <w:p w14:paraId="1AD8F12D" w14:textId="77777777" w:rsidR="00A9735E" w:rsidRPr="00A9735E" w:rsidRDefault="00A9735E" w:rsidP="00A9735E">
      <w:r w:rsidRPr="00A9735E">
        <w:t xml:space="preserve">A low degree of homology was found between the </w:t>
      </w:r>
      <w:r w:rsidRPr="00A9735E">
        <w:rPr>
          <w:lang w:val="en-AU"/>
        </w:rPr>
        <w:t>beta-fructofuranosidase from</w:t>
      </w:r>
      <w:r w:rsidRPr="00A9735E">
        <w:t xml:space="preserve"> </w:t>
      </w:r>
      <w:r w:rsidRPr="00A9735E">
        <w:rPr>
          <w:i/>
          <w:lang w:val="en-AU"/>
        </w:rPr>
        <w:t>A. fijiensis</w:t>
      </w:r>
      <w:r w:rsidRPr="00A9735E">
        <w:rPr>
          <w:lang w:val="en-AU"/>
        </w:rPr>
        <w:t xml:space="preserve"> </w:t>
      </w:r>
      <w:r w:rsidRPr="00A9735E">
        <w:t xml:space="preserve">and </w:t>
      </w:r>
      <w:r w:rsidRPr="00A9735E">
        <w:rPr>
          <w:lang w:val="en-AU" w:eastAsia="en-AU"/>
        </w:rPr>
        <w:t xml:space="preserve">peanut agglutinin precursor from </w:t>
      </w:r>
      <w:r w:rsidRPr="00A9735E">
        <w:rPr>
          <w:i/>
          <w:lang w:val="en-AU" w:eastAsia="en-AU"/>
        </w:rPr>
        <w:t>Arachis hypogaea</w:t>
      </w:r>
      <w:r w:rsidRPr="00A9735E">
        <w:t xml:space="preserve">. Taking into account its history of use in Australia and the lack of case reports of food allergy to </w:t>
      </w:r>
      <w:r w:rsidRPr="00A9735E">
        <w:rPr>
          <w:lang w:val="en-AU"/>
        </w:rPr>
        <w:t>beta-fructofuranosidase from</w:t>
      </w:r>
      <w:r w:rsidRPr="00A9735E">
        <w:t xml:space="preserve"> </w:t>
      </w:r>
      <w:r w:rsidRPr="00A9735E">
        <w:rPr>
          <w:i/>
          <w:lang w:val="en-AU"/>
        </w:rPr>
        <w:t>A. fijiensis</w:t>
      </w:r>
      <w:r w:rsidRPr="00A9735E">
        <w:t>, and the low levels expected to be present in final food products, the risk of food allergy from use of the enzyme in food processing is likely to be low.</w:t>
      </w:r>
    </w:p>
    <w:p w14:paraId="0FA91DFF" w14:textId="77777777" w:rsidR="00A9735E" w:rsidRPr="00A9735E" w:rsidRDefault="00A9735E" w:rsidP="00A9735E">
      <w:pPr>
        <w:rPr>
          <w:lang w:val="en-AU"/>
        </w:rPr>
      </w:pPr>
    </w:p>
    <w:p w14:paraId="65F08086" w14:textId="77777777" w:rsidR="00A9735E" w:rsidRPr="00A9735E" w:rsidRDefault="00A9735E" w:rsidP="00A9735E">
      <w:pPr>
        <w:rPr>
          <w:lang w:bidi="ar-SA"/>
        </w:rPr>
      </w:pPr>
      <w:r w:rsidRPr="00A9735E">
        <w:t>Based on the reviewed data it is concluded that in the absence of any identifiable hazard an Acceptable Daily Intake (ADI) ‘not specified’ is appropriate.</w:t>
      </w:r>
    </w:p>
    <w:p w14:paraId="5A22E112" w14:textId="77777777" w:rsidR="002C1A3B" w:rsidRPr="00932F14" w:rsidRDefault="002C1A3B" w:rsidP="002C1A3B">
      <w:pPr>
        <w:pStyle w:val="Heading2"/>
      </w:pPr>
      <w:bookmarkStart w:id="75" w:name="_Toc93328370"/>
      <w:r>
        <w:t>2.3</w:t>
      </w:r>
      <w:r>
        <w:tab/>
        <w:t>Risk management</w:t>
      </w:r>
      <w:bookmarkEnd w:id="72"/>
      <w:bookmarkEnd w:id="73"/>
      <w:bookmarkEnd w:id="75"/>
    </w:p>
    <w:p w14:paraId="204D32A4" w14:textId="3DF48D19" w:rsidR="00A9735E" w:rsidRPr="002E2DB9" w:rsidRDefault="00A9735E" w:rsidP="00A9735E">
      <w:pPr>
        <w:keepNext/>
        <w:spacing w:before="240" w:after="240"/>
        <w:ind w:left="851" w:hanging="851"/>
        <w:outlineLvl w:val="2"/>
        <w:rPr>
          <w:b/>
          <w:bCs/>
          <w:lang w:eastAsia="en-AU" w:bidi="ar-SA"/>
        </w:rPr>
      </w:pPr>
      <w:bookmarkStart w:id="76" w:name="_Toc59089308"/>
      <w:bookmarkStart w:id="77" w:name="_Toc83719048"/>
      <w:bookmarkStart w:id="78" w:name="_Toc309291814"/>
      <w:bookmarkStart w:id="79" w:name="_Toc370225389"/>
      <w:bookmarkStart w:id="80" w:name="_Toc286391012"/>
      <w:bookmarkEnd w:id="74"/>
      <w:r w:rsidRPr="002E2DB9">
        <w:rPr>
          <w:b/>
          <w:bCs/>
          <w:lang w:eastAsia="en-AU" w:bidi="ar-SA"/>
        </w:rPr>
        <w:t>2.3.1</w:t>
      </w:r>
      <w:r w:rsidRPr="002E2DB9">
        <w:rPr>
          <w:b/>
          <w:bCs/>
          <w:lang w:eastAsia="en-AU" w:bidi="ar-SA"/>
        </w:rPr>
        <w:tab/>
        <w:t>Regulatory approval for enzymes</w:t>
      </w:r>
      <w:bookmarkEnd w:id="76"/>
      <w:bookmarkEnd w:id="77"/>
    </w:p>
    <w:p w14:paraId="4C9C7027" w14:textId="77777777" w:rsidR="00A9735E" w:rsidRPr="002E2DB9" w:rsidRDefault="00A9735E" w:rsidP="00A9735E">
      <w:r w:rsidRPr="002E2DB9">
        <w:t xml:space="preserve">The risk management options available to FSANZ, after assessment, were to either reject the application or to prepare a draft variation to amend the Code to permit the use of the enzyme beta-fructofuranosidase derived from </w:t>
      </w:r>
      <w:r w:rsidRPr="002E2DB9">
        <w:rPr>
          <w:i/>
        </w:rPr>
        <w:t>A.fijiensis</w:t>
      </w:r>
      <w:r w:rsidRPr="002E2DB9">
        <w:t xml:space="preserve"> ATCC 20611 as a processing aid in food.</w:t>
      </w:r>
    </w:p>
    <w:p w14:paraId="28877950" w14:textId="77777777" w:rsidR="00A9735E" w:rsidRPr="002E2DB9" w:rsidRDefault="00A9735E" w:rsidP="00A9735E"/>
    <w:p w14:paraId="7045B02D" w14:textId="5783C772" w:rsidR="00A9735E" w:rsidRPr="002E2DB9" w:rsidRDefault="00A9735E" w:rsidP="00A9735E">
      <w:r w:rsidRPr="002E2DB9">
        <w:t xml:space="preserve">As stated above, FSANZ has concluded that </w:t>
      </w:r>
      <w:r w:rsidRPr="002E2DB9">
        <w:rPr>
          <w:lang w:val="en-AU"/>
        </w:rPr>
        <w:t xml:space="preserve">beta-fructofuranosidase </w:t>
      </w:r>
      <w:r w:rsidRPr="002E2DB9">
        <w:t xml:space="preserve">from </w:t>
      </w:r>
      <w:r w:rsidRPr="002E2DB9">
        <w:rPr>
          <w:i/>
          <w:szCs w:val="22"/>
        </w:rPr>
        <w:t>A. fijiensis</w:t>
      </w:r>
      <w:r w:rsidRPr="002E2DB9">
        <w:rPr>
          <w:szCs w:val="22"/>
        </w:rPr>
        <w:t xml:space="preserve"> ATCC 20611 </w:t>
      </w:r>
      <w:r w:rsidRPr="002E2DB9">
        <w:t>is safe for use as an enzyme for food processing</w:t>
      </w:r>
      <w:r w:rsidRPr="002E2DB9">
        <w:rPr>
          <w:szCs w:val="22"/>
        </w:rPr>
        <w:t xml:space="preserve">. The microbiological assessment noted that it was appropriate to identify the microorganism to the strain level i.e. ATCC 20611, which is used in the </w:t>
      </w:r>
      <w:r w:rsidR="002E2DB9" w:rsidRPr="002E2DB9">
        <w:rPr>
          <w:szCs w:val="22"/>
        </w:rPr>
        <w:t>approv</w:t>
      </w:r>
      <w:r w:rsidRPr="002E2DB9">
        <w:rPr>
          <w:szCs w:val="22"/>
        </w:rPr>
        <w:t>ed draft</w:t>
      </w:r>
      <w:r w:rsidR="002E2DB9" w:rsidRPr="002E2DB9">
        <w:rPr>
          <w:szCs w:val="22"/>
        </w:rPr>
        <w:t xml:space="preserve"> variation</w:t>
      </w:r>
      <w:r w:rsidRPr="002E2DB9">
        <w:rPr>
          <w:szCs w:val="22"/>
        </w:rPr>
        <w:t xml:space="preserve">. </w:t>
      </w:r>
      <w:r w:rsidRPr="002E2DB9">
        <w:t xml:space="preserve">The risk assessment concluded that the enzyme is unlikely to pose allergenicity or toxicity concerns and further concluded that in the absence of any identifiable hazard, an ADI of ‘not specified’ is appropriate for the enzyme. </w:t>
      </w:r>
    </w:p>
    <w:p w14:paraId="3C849E71" w14:textId="77777777" w:rsidR="00A9735E" w:rsidRPr="002E2DB9" w:rsidRDefault="00A9735E" w:rsidP="00A9735E"/>
    <w:p w14:paraId="46BF24B3" w14:textId="2A1CE4D2" w:rsidR="00A9735E" w:rsidRPr="002E2DB9" w:rsidRDefault="00A9735E" w:rsidP="00A9735E">
      <w:r w:rsidRPr="002E2DB9">
        <w:t xml:space="preserve">It is noted that permission for the enzyme beta-fructofuranosidase sourced from </w:t>
      </w:r>
      <w:r w:rsidRPr="002E2DB9">
        <w:rPr>
          <w:i/>
        </w:rPr>
        <w:t>A. niger</w:t>
      </w:r>
      <w:r w:rsidRPr="002E2DB9">
        <w:t xml:space="preserve"> is as a processing aid in the processing of all food for all technological purposes. Therefore, FSANZ </w:t>
      </w:r>
      <w:r w:rsidR="002E2DB9" w:rsidRPr="002E2DB9">
        <w:t>approv</w:t>
      </w:r>
      <w:r w:rsidRPr="002E2DB9">
        <w:t xml:space="preserve">ed a draft variation to permit the use of the enzyme as a processing aid for its stated purpose, consistent with the current permission in the Code for </w:t>
      </w:r>
      <w:r w:rsidRPr="002E2DB9">
        <w:rPr>
          <w:lang w:val="en-AU"/>
        </w:rPr>
        <w:t>beta-fructofuranosidase i.e. for any technological purpose in the manufacture of all foods</w:t>
      </w:r>
      <w:r w:rsidRPr="002E2DB9">
        <w:t xml:space="preserve">. </w:t>
      </w:r>
    </w:p>
    <w:p w14:paraId="2DEFC417" w14:textId="126B28FF" w:rsidR="00A9735E" w:rsidRPr="002E2DB9" w:rsidRDefault="00A9735E" w:rsidP="00A9735E">
      <w:pPr>
        <w:keepNext/>
        <w:spacing w:before="240" w:after="240"/>
        <w:ind w:left="851" w:hanging="851"/>
        <w:outlineLvl w:val="2"/>
        <w:rPr>
          <w:b/>
          <w:bCs/>
          <w:lang w:eastAsia="en-AU" w:bidi="ar-SA"/>
        </w:rPr>
      </w:pPr>
      <w:bookmarkStart w:id="81" w:name="_Toc59089309"/>
      <w:bookmarkStart w:id="82" w:name="_Toc83719049"/>
      <w:r w:rsidRPr="002E2DB9">
        <w:rPr>
          <w:b/>
          <w:bCs/>
          <w:lang w:eastAsia="en-AU" w:bidi="ar-SA"/>
        </w:rPr>
        <w:t>2.3.2</w:t>
      </w:r>
      <w:r w:rsidRPr="002E2DB9">
        <w:rPr>
          <w:b/>
          <w:bCs/>
          <w:lang w:eastAsia="en-AU" w:bidi="ar-SA"/>
        </w:rPr>
        <w:tab/>
        <w:t>Enzyme and source microorganism nomenclature</w:t>
      </w:r>
      <w:bookmarkEnd w:id="81"/>
      <w:bookmarkEnd w:id="82"/>
    </w:p>
    <w:p w14:paraId="624270C2" w14:textId="77777777" w:rsidR="00A9735E" w:rsidRPr="002E2DB9" w:rsidRDefault="00A9735E" w:rsidP="00A9735E">
      <w:pPr>
        <w:rPr>
          <w:lang w:bidi="ar-SA"/>
        </w:rPr>
      </w:pPr>
      <w:r w:rsidRPr="002E2DB9">
        <w:rPr>
          <w:lang w:bidi="ar-SA"/>
        </w:rPr>
        <w:t>The discussion of the identification of the microorganism as the source of the enzyme, which is the purpose of the application is detailed within section 3.2 of SD1. In particular, this includes the history of the nomenclature. This information is summarised below.</w:t>
      </w:r>
    </w:p>
    <w:p w14:paraId="29ECAA7B" w14:textId="77777777" w:rsidR="00A9735E" w:rsidRPr="002E2DB9" w:rsidRDefault="00A9735E" w:rsidP="00A9735E">
      <w:pPr>
        <w:rPr>
          <w:lang w:bidi="ar-SA"/>
        </w:rPr>
      </w:pPr>
    </w:p>
    <w:p w14:paraId="7754E8A7" w14:textId="5F70881E" w:rsidR="00A9735E" w:rsidRPr="002E2DB9" w:rsidRDefault="00A9735E" w:rsidP="00A9735E">
      <w:pPr>
        <w:rPr>
          <w:rFonts w:cs="Arial"/>
          <w:szCs w:val="22"/>
        </w:rPr>
      </w:pPr>
      <w:r w:rsidRPr="002E2DB9">
        <w:rPr>
          <w:rFonts w:cs="Arial"/>
          <w:szCs w:val="22"/>
        </w:rPr>
        <w:t xml:space="preserve">As indicated by the applicant, the initial deposit of the strain of the microorganism was conducted in association with the filing of a patent and was classified by the American Type </w:t>
      </w:r>
      <w:r w:rsidRPr="002E2DB9">
        <w:rPr>
          <w:rFonts w:cs="Arial"/>
          <w:szCs w:val="22"/>
        </w:rPr>
        <w:lastRenderedPageBreak/>
        <w:t xml:space="preserve">Culture Collection (ATCC) as </w:t>
      </w:r>
      <w:r w:rsidRPr="002E2DB9">
        <w:rPr>
          <w:rFonts w:cs="Arial"/>
          <w:i/>
          <w:iCs/>
          <w:szCs w:val="22"/>
        </w:rPr>
        <w:t>Aspergillus niger</w:t>
      </w:r>
      <w:r w:rsidRPr="002E2DB9">
        <w:rPr>
          <w:rFonts w:cs="Arial"/>
          <w:szCs w:val="22"/>
        </w:rPr>
        <w:t xml:space="preserve"> ATCC® 20611</w:t>
      </w:r>
      <w:r w:rsidRPr="002E2DB9">
        <w:rPr>
          <w:rFonts w:cs="Arial"/>
          <w:szCs w:val="22"/>
          <w:vertAlign w:val="superscript"/>
        </w:rPr>
        <w:t xml:space="preserve">Tm </w:t>
      </w:r>
      <w:r w:rsidRPr="002E2DB9">
        <w:rPr>
          <w:rFonts w:cs="Arial"/>
          <w:i/>
          <w:iCs/>
          <w:szCs w:val="22"/>
        </w:rPr>
        <w:t xml:space="preserve">. </w:t>
      </w:r>
      <w:r w:rsidRPr="002E2DB9">
        <w:rPr>
          <w:szCs w:val="22"/>
        </w:rPr>
        <w:t xml:space="preserve">In November 1997, ATCC reclassified the microorganism as the species </w:t>
      </w:r>
      <w:r w:rsidRPr="002E2DB9">
        <w:rPr>
          <w:i/>
          <w:szCs w:val="22"/>
        </w:rPr>
        <w:t xml:space="preserve">Aspergillus japonicus </w:t>
      </w:r>
      <w:r w:rsidRPr="002E2DB9">
        <w:rPr>
          <w:szCs w:val="22"/>
        </w:rPr>
        <w:t xml:space="preserve">based on its morphology. </w:t>
      </w:r>
      <w:r w:rsidRPr="002E2DB9">
        <w:rPr>
          <w:rFonts w:cs="Arial"/>
          <w:szCs w:val="22"/>
        </w:rPr>
        <w:t>This microorganism had been re-</w:t>
      </w:r>
      <w:r w:rsidR="002F5E5B">
        <w:rPr>
          <w:rFonts w:cs="Arial"/>
          <w:szCs w:val="22"/>
        </w:rPr>
        <w:t>classified</w:t>
      </w:r>
      <w:r w:rsidR="002F5E5B" w:rsidRPr="002E2DB9">
        <w:rPr>
          <w:rFonts w:cs="Arial"/>
          <w:szCs w:val="22"/>
        </w:rPr>
        <w:t xml:space="preserve"> </w:t>
      </w:r>
      <w:r w:rsidR="002F5E5B">
        <w:rPr>
          <w:rFonts w:cs="Arial"/>
          <w:szCs w:val="22"/>
        </w:rPr>
        <w:t xml:space="preserve">in 2015 </w:t>
      </w:r>
      <w:r w:rsidRPr="002E2DB9">
        <w:rPr>
          <w:rFonts w:cs="Arial"/>
          <w:szCs w:val="22"/>
        </w:rPr>
        <w:t xml:space="preserve">as the </w:t>
      </w:r>
      <w:r w:rsidR="002F5E5B">
        <w:rPr>
          <w:rFonts w:cs="Arial"/>
          <w:szCs w:val="22"/>
        </w:rPr>
        <w:t xml:space="preserve">new </w:t>
      </w:r>
      <w:r w:rsidRPr="002E2DB9">
        <w:rPr>
          <w:rFonts w:cs="Arial"/>
          <w:szCs w:val="22"/>
        </w:rPr>
        <w:t>species</w:t>
      </w:r>
      <w:r w:rsidR="002F5E5B">
        <w:rPr>
          <w:rFonts w:cs="Arial"/>
          <w:szCs w:val="22"/>
        </w:rPr>
        <w:t>,</w:t>
      </w:r>
      <w:r w:rsidRPr="002E2DB9">
        <w:rPr>
          <w:rFonts w:cs="Arial"/>
          <w:szCs w:val="22"/>
        </w:rPr>
        <w:t xml:space="preserve"> </w:t>
      </w:r>
      <w:r w:rsidRPr="002E2DB9">
        <w:rPr>
          <w:rFonts w:cs="Arial"/>
          <w:i/>
          <w:iCs/>
          <w:szCs w:val="22"/>
        </w:rPr>
        <w:t>Aspergillus fijiensis</w:t>
      </w:r>
      <w:r w:rsidRPr="002E2DB9">
        <w:rPr>
          <w:rFonts w:cs="Arial"/>
          <w:szCs w:val="22"/>
        </w:rPr>
        <w:t>.</w:t>
      </w:r>
    </w:p>
    <w:p w14:paraId="0F6E42CF" w14:textId="77777777" w:rsidR="00A9735E" w:rsidRPr="002E2DB9" w:rsidRDefault="00A9735E" w:rsidP="00A9735E">
      <w:pPr>
        <w:rPr>
          <w:rFonts w:cs="Arial"/>
          <w:szCs w:val="22"/>
        </w:rPr>
      </w:pPr>
    </w:p>
    <w:p w14:paraId="1405C7A8" w14:textId="64FBB7E6" w:rsidR="00A9735E" w:rsidRPr="002E2DB9" w:rsidRDefault="00A9735E" w:rsidP="00A9735E">
      <w:pPr>
        <w:rPr>
          <w:szCs w:val="22"/>
        </w:rPr>
      </w:pPr>
      <w:r w:rsidRPr="002E2DB9">
        <w:rPr>
          <w:rFonts w:cs="Arial"/>
          <w:szCs w:val="22"/>
        </w:rPr>
        <w:t xml:space="preserve">FSANZ’s analysis of the </w:t>
      </w:r>
      <w:r w:rsidR="002F5E5B">
        <w:rPr>
          <w:rFonts w:cs="Arial"/>
          <w:szCs w:val="22"/>
        </w:rPr>
        <w:t xml:space="preserve">scientific </w:t>
      </w:r>
      <w:r w:rsidRPr="002E2DB9">
        <w:rPr>
          <w:rFonts w:cs="Arial"/>
          <w:szCs w:val="22"/>
        </w:rPr>
        <w:t>literature identified</w:t>
      </w:r>
      <w:r w:rsidRPr="002E2DB9">
        <w:rPr>
          <w:szCs w:val="22"/>
        </w:rPr>
        <w:t xml:space="preserve"> a number of references </w:t>
      </w:r>
      <w:r w:rsidR="002E2DB9">
        <w:rPr>
          <w:szCs w:val="22"/>
        </w:rPr>
        <w:t xml:space="preserve">that </w:t>
      </w:r>
      <w:r w:rsidRPr="002E2DB9">
        <w:rPr>
          <w:szCs w:val="22"/>
        </w:rPr>
        <w:t xml:space="preserve">have provided data indicating that </w:t>
      </w:r>
      <w:r w:rsidRPr="002E2DB9">
        <w:rPr>
          <w:rFonts w:cs="Arial"/>
          <w:i/>
          <w:iCs/>
          <w:szCs w:val="22"/>
        </w:rPr>
        <w:t xml:space="preserve">A. fijiensis </w:t>
      </w:r>
      <w:r w:rsidRPr="002E2DB9">
        <w:rPr>
          <w:rFonts w:cs="Arial"/>
          <w:iCs/>
          <w:szCs w:val="22"/>
        </w:rPr>
        <w:t>should not be considered a separate species</w:t>
      </w:r>
      <w:r w:rsidRPr="002E2DB9">
        <w:rPr>
          <w:rFonts w:cs="Arial"/>
          <w:i/>
          <w:iCs/>
          <w:szCs w:val="22"/>
        </w:rPr>
        <w:t xml:space="preserve"> </w:t>
      </w:r>
      <w:r w:rsidRPr="002E2DB9">
        <w:rPr>
          <w:rFonts w:cs="Arial"/>
          <w:iCs/>
          <w:szCs w:val="22"/>
        </w:rPr>
        <w:t xml:space="preserve">but instead a synonym of the species </w:t>
      </w:r>
      <w:r w:rsidRPr="002E2DB9">
        <w:rPr>
          <w:rFonts w:cs="Arial"/>
          <w:i/>
          <w:iCs/>
          <w:szCs w:val="22"/>
        </w:rPr>
        <w:t>A</w:t>
      </w:r>
      <w:r w:rsidR="006170CD">
        <w:rPr>
          <w:rFonts w:cs="Arial"/>
          <w:i/>
          <w:iCs/>
          <w:szCs w:val="22"/>
        </w:rPr>
        <w:t>spergillus brunneoviolaceus (A</w:t>
      </w:r>
      <w:r w:rsidRPr="002E2DB9">
        <w:rPr>
          <w:rFonts w:cs="Arial"/>
          <w:i/>
          <w:iCs/>
          <w:szCs w:val="22"/>
        </w:rPr>
        <w:t>. brunneoviolaceus</w:t>
      </w:r>
      <w:r w:rsidR="006170CD">
        <w:rPr>
          <w:rFonts w:cs="Arial"/>
          <w:i/>
          <w:iCs/>
          <w:szCs w:val="22"/>
        </w:rPr>
        <w:t>)</w:t>
      </w:r>
      <w:r w:rsidRPr="002E2DB9">
        <w:rPr>
          <w:rFonts w:cs="Arial"/>
          <w:i/>
          <w:iCs/>
          <w:szCs w:val="22"/>
        </w:rPr>
        <w:t>.</w:t>
      </w:r>
      <w:r w:rsidRPr="002E2DB9">
        <w:rPr>
          <w:rFonts w:cs="Arial"/>
          <w:iCs/>
          <w:szCs w:val="22"/>
        </w:rPr>
        <w:t xml:space="preserve"> </w:t>
      </w:r>
      <w:r w:rsidRPr="002E2DB9">
        <w:rPr>
          <w:rFonts w:cs="Arial"/>
          <w:i/>
          <w:iCs/>
          <w:szCs w:val="22"/>
        </w:rPr>
        <w:t>A. brunneoviolaceus</w:t>
      </w:r>
      <w:r w:rsidRPr="002E2DB9">
        <w:rPr>
          <w:rFonts w:cs="Arial"/>
          <w:iCs/>
          <w:szCs w:val="22"/>
        </w:rPr>
        <w:t xml:space="preserve"> (syn. </w:t>
      </w:r>
      <w:r w:rsidRPr="002E2DB9">
        <w:rPr>
          <w:i/>
          <w:szCs w:val="22"/>
        </w:rPr>
        <w:t>A. fijiensis</w:t>
      </w:r>
      <w:r w:rsidRPr="002E2DB9">
        <w:rPr>
          <w:szCs w:val="22"/>
        </w:rPr>
        <w:t>) was the confirmed species identification of the production organism.</w:t>
      </w:r>
      <w:r w:rsidRPr="002E2DB9">
        <w:rPr>
          <w:rFonts w:cs="Arial"/>
          <w:szCs w:val="22"/>
          <w:shd w:val="clear" w:color="auto" w:fill="FFFFFF"/>
        </w:rPr>
        <w:t xml:space="preserve"> Both </w:t>
      </w:r>
      <w:r w:rsidRPr="002E2DB9">
        <w:rPr>
          <w:rFonts w:cs="Arial"/>
          <w:i/>
          <w:iCs/>
          <w:szCs w:val="22"/>
        </w:rPr>
        <w:t>A. brunneoviolaceus</w:t>
      </w:r>
      <w:r w:rsidRPr="002E2DB9">
        <w:rPr>
          <w:rFonts w:cs="Arial"/>
          <w:iCs/>
          <w:szCs w:val="22"/>
        </w:rPr>
        <w:t xml:space="preserve"> and </w:t>
      </w:r>
      <w:r w:rsidRPr="002E2DB9">
        <w:rPr>
          <w:i/>
          <w:szCs w:val="22"/>
        </w:rPr>
        <w:t>A. fijiensis</w:t>
      </w:r>
      <w:r w:rsidRPr="002E2DB9">
        <w:rPr>
          <w:szCs w:val="22"/>
        </w:rPr>
        <w:t xml:space="preserve"> as species </w:t>
      </w:r>
      <w:r w:rsidRPr="002E2DB9">
        <w:t xml:space="preserve">have not previously been approved in the Code for enzyme production and have a modest history of use in commercial enzyme production. Although the available data for </w:t>
      </w:r>
      <w:r w:rsidRPr="002E2DB9">
        <w:rPr>
          <w:rFonts w:cs="Arial"/>
          <w:i/>
          <w:iCs/>
          <w:szCs w:val="22"/>
        </w:rPr>
        <w:t xml:space="preserve">A. brunneoviolaceus </w:t>
      </w:r>
      <w:r w:rsidRPr="002E2DB9">
        <w:rPr>
          <w:rFonts w:cs="Arial"/>
          <w:iCs/>
          <w:szCs w:val="22"/>
        </w:rPr>
        <w:t xml:space="preserve">(syn. </w:t>
      </w:r>
      <w:r w:rsidRPr="002E2DB9">
        <w:rPr>
          <w:i/>
          <w:szCs w:val="22"/>
        </w:rPr>
        <w:t>A. fijiensis</w:t>
      </w:r>
      <w:r w:rsidRPr="002E2DB9">
        <w:rPr>
          <w:szCs w:val="22"/>
        </w:rPr>
        <w:t xml:space="preserve">) </w:t>
      </w:r>
      <w:r w:rsidRPr="002E2DB9">
        <w:rPr>
          <w:rFonts w:cs="Arial"/>
          <w:iCs/>
          <w:szCs w:val="22"/>
        </w:rPr>
        <w:t>suggests a low risk,</w:t>
      </w:r>
      <w:r w:rsidRPr="002E2DB9">
        <w:t xml:space="preserve"> this data is limited. It </w:t>
      </w:r>
      <w:r w:rsidR="002E2DB9">
        <w:t>wa</w:t>
      </w:r>
      <w:r w:rsidRPr="002E2DB9">
        <w:t>s recommended that the source organism be designated in the Code at the strain level rather than the species level as the identified strain, as named by ATCC as ‘</w:t>
      </w:r>
      <w:r w:rsidRPr="002E2DB9">
        <w:rPr>
          <w:rFonts w:cs="Arial"/>
          <w:i/>
          <w:iCs/>
          <w:szCs w:val="22"/>
        </w:rPr>
        <w:t>A. fijiensis</w:t>
      </w:r>
      <w:r w:rsidRPr="002E2DB9">
        <w:rPr>
          <w:rFonts w:cs="Arial"/>
          <w:szCs w:val="22"/>
        </w:rPr>
        <w:t xml:space="preserve"> ATCC 20611’</w:t>
      </w:r>
      <w:r w:rsidRPr="002E2DB9">
        <w:rPr>
          <w:lang w:bidi="ar-SA"/>
        </w:rPr>
        <w:t>. This strain is neither toxigenic nor pathogenic.</w:t>
      </w:r>
    </w:p>
    <w:p w14:paraId="3CC9444F" w14:textId="77777777" w:rsidR="00A9735E" w:rsidRPr="002E2DB9" w:rsidRDefault="00A9735E" w:rsidP="00A9735E">
      <w:pPr>
        <w:rPr>
          <w:rFonts w:cs="Arial"/>
          <w:iCs/>
          <w:szCs w:val="22"/>
        </w:rPr>
      </w:pPr>
    </w:p>
    <w:p w14:paraId="104E6118" w14:textId="60D69296" w:rsidR="00A9735E" w:rsidRPr="002E2DB9" w:rsidRDefault="00A9735E" w:rsidP="00A9735E">
      <w:pPr>
        <w:rPr>
          <w:szCs w:val="22"/>
        </w:rPr>
      </w:pPr>
      <w:r w:rsidRPr="002E2DB9">
        <w:rPr>
          <w:rFonts w:cs="Arial"/>
          <w:iCs/>
          <w:szCs w:val="22"/>
        </w:rPr>
        <w:t xml:space="preserve">As noted earlier, FSANZ added permission to use the enzyme as a processing aid in the Code in 2013 with the name </w:t>
      </w:r>
      <w:r w:rsidRPr="002E2DB9">
        <w:t>beta-fructofuranosidase (Enzyme Commission (EC) number 3.2.1.26). This is also the accepted International Union of Biochemistry and Molecular Biology (IUBMB)</w:t>
      </w:r>
      <w:r w:rsidRPr="002E2DB9">
        <w:rPr>
          <w:vertAlign w:val="superscript"/>
        </w:rPr>
        <w:footnoteReference w:id="4"/>
      </w:r>
      <w:r w:rsidRPr="002E2DB9">
        <w:t xml:space="preserve"> name of the enzyme. Therefore, this is the name of the enzyme which </w:t>
      </w:r>
      <w:r w:rsidR="002E2DB9">
        <w:t xml:space="preserve">is </w:t>
      </w:r>
      <w:r w:rsidRPr="002E2DB9">
        <w:t xml:space="preserve">maintained in the </w:t>
      </w:r>
      <w:r w:rsidR="00C97A20">
        <w:t>approved draft</w:t>
      </w:r>
      <w:r w:rsidRPr="002E2DB9">
        <w:t xml:space="preserve"> variation.</w:t>
      </w:r>
    </w:p>
    <w:p w14:paraId="29EF99C1" w14:textId="4DD63387" w:rsidR="00A9735E" w:rsidRPr="00C97A20" w:rsidRDefault="00A9735E" w:rsidP="00A9735E">
      <w:pPr>
        <w:keepNext/>
        <w:spacing w:before="240" w:after="240"/>
        <w:ind w:left="851" w:hanging="851"/>
        <w:outlineLvl w:val="2"/>
        <w:rPr>
          <w:b/>
          <w:bCs/>
          <w:lang w:eastAsia="en-AU" w:bidi="ar-SA"/>
        </w:rPr>
      </w:pPr>
      <w:bookmarkStart w:id="83" w:name="_Toc59089310"/>
      <w:bookmarkStart w:id="84" w:name="_Toc83719050"/>
      <w:r w:rsidRPr="00C97A20">
        <w:rPr>
          <w:b/>
          <w:bCs/>
          <w:lang w:eastAsia="en-AU" w:bidi="ar-SA"/>
        </w:rPr>
        <w:t>2.3.3</w:t>
      </w:r>
      <w:r w:rsidRPr="00C97A20">
        <w:rPr>
          <w:b/>
          <w:bCs/>
          <w:lang w:eastAsia="en-AU" w:bidi="ar-SA"/>
        </w:rPr>
        <w:tab/>
        <w:t>Labelling requirements</w:t>
      </w:r>
      <w:bookmarkEnd w:id="83"/>
      <w:bookmarkEnd w:id="84"/>
    </w:p>
    <w:p w14:paraId="67EA5841" w14:textId="77777777" w:rsidR="00A9735E" w:rsidRPr="00C97A20" w:rsidRDefault="00A9735E" w:rsidP="00A9735E">
      <w:r w:rsidRPr="00C97A20">
        <w:t>The generic exemption from listing processing aids in the statement of ingredients would apply to foods produced using this processing aid (see section 1.3.3 above), unless allergens are present.</w:t>
      </w:r>
    </w:p>
    <w:p w14:paraId="244898F8" w14:textId="52C5658F" w:rsidR="00A9735E" w:rsidRPr="00C97A20" w:rsidRDefault="00A9735E" w:rsidP="00A9735E">
      <w:pPr>
        <w:keepNext/>
        <w:spacing w:before="240" w:after="240"/>
        <w:ind w:left="851" w:hanging="851"/>
        <w:outlineLvl w:val="3"/>
        <w:rPr>
          <w:b/>
          <w:bCs/>
          <w:i/>
          <w:iCs/>
          <w:szCs w:val="22"/>
          <w:lang w:bidi="ar-SA"/>
        </w:rPr>
      </w:pPr>
      <w:bookmarkStart w:id="85" w:name="_Toc59089311"/>
      <w:r w:rsidRPr="00C97A20">
        <w:rPr>
          <w:b/>
          <w:bCs/>
          <w:i/>
          <w:iCs/>
          <w:szCs w:val="22"/>
          <w:lang w:bidi="ar-SA"/>
        </w:rPr>
        <w:t>2.3.3.1</w:t>
      </w:r>
      <w:r w:rsidRPr="00C97A20">
        <w:rPr>
          <w:b/>
          <w:bCs/>
          <w:i/>
          <w:iCs/>
          <w:szCs w:val="22"/>
          <w:lang w:bidi="ar-SA"/>
        </w:rPr>
        <w:tab/>
        <w:t>Declaration of certain substances</w:t>
      </w:r>
    </w:p>
    <w:p w14:paraId="10213664" w14:textId="77777777" w:rsidR="00A9735E" w:rsidRPr="00C97A20" w:rsidRDefault="00A9735E" w:rsidP="00A9735E">
      <w:pPr>
        <w:rPr>
          <w:szCs w:val="22"/>
        </w:rPr>
      </w:pPr>
      <w:r w:rsidRPr="00C97A20">
        <w:t xml:space="preserve">As noted in section 2.2.1 of SD1, residual amounts of soybean material, which is used as a fermentation nutrient, may remain in the final enzyme preparation. </w:t>
      </w:r>
      <w:r w:rsidRPr="00C97A20">
        <w:rPr>
          <w:szCs w:val="22"/>
        </w:rPr>
        <w:t>If soy is present in a food for sale</w:t>
      </w:r>
      <w:r w:rsidRPr="00C97A20">
        <w:rPr>
          <w:szCs w:val="22"/>
          <w:vertAlign w:val="superscript"/>
        </w:rPr>
        <w:footnoteReference w:id="5"/>
      </w:r>
      <w:r w:rsidRPr="00C97A20">
        <w:rPr>
          <w:szCs w:val="22"/>
        </w:rPr>
        <w:t>, including when present as a processing aid or an ingredient or component of a processing aid, it must be declared in accordance with Division 3 of Standard 1.2.3 (Information requirements – warning statements, advisory statements and declarations). If the food is not required to bear a label, the allergen information must be displayed in connection with the display of the food or provided to the purchaser on request (subsections 1.2.1—9(6) and (7) of Standard 1.2.1).</w:t>
      </w:r>
    </w:p>
    <w:p w14:paraId="65305B10" w14:textId="33DB78AC" w:rsidR="00A9735E" w:rsidRPr="00C97A20" w:rsidRDefault="00A9735E" w:rsidP="00A9735E">
      <w:pPr>
        <w:keepNext/>
        <w:spacing w:before="240" w:after="240"/>
        <w:ind w:left="851" w:hanging="851"/>
        <w:outlineLvl w:val="2"/>
        <w:rPr>
          <w:b/>
          <w:bCs/>
          <w:lang w:eastAsia="en-AU" w:bidi="ar-SA"/>
        </w:rPr>
      </w:pPr>
      <w:bookmarkStart w:id="86" w:name="_Toc83719051"/>
      <w:r w:rsidRPr="00C97A20">
        <w:rPr>
          <w:b/>
          <w:bCs/>
          <w:lang w:eastAsia="en-AU" w:bidi="ar-SA"/>
        </w:rPr>
        <w:t>2.3.4</w:t>
      </w:r>
      <w:r w:rsidRPr="00C97A20">
        <w:rPr>
          <w:b/>
          <w:bCs/>
          <w:lang w:eastAsia="en-AU" w:bidi="ar-SA"/>
        </w:rPr>
        <w:tab/>
        <w:t>Risk management conclusion</w:t>
      </w:r>
      <w:bookmarkEnd w:id="85"/>
      <w:bookmarkEnd w:id="86"/>
    </w:p>
    <w:p w14:paraId="0B22729F" w14:textId="7BB9222B" w:rsidR="00A9735E" w:rsidRPr="00C97A20" w:rsidRDefault="00A9735E" w:rsidP="00A9735E">
      <w:r w:rsidRPr="00C97A20">
        <w:t>The risk management conclusion is to permit the use of the enzyme beta-fructofuranosidase (EC 3.2.1.26) derived from</w:t>
      </w:r>
      <w:r w:rsidRPr="00C97A20">
        <w:rPr>
          <w:rFonts w:cs="Arial"/>
          <w:iCs/>
          <w:szCs w:val="22"/>
        </w:rPr>
        <w:t xml:space="preserve"> </w:t>
      </w:r>
      <w:r w:rsidRPr="00C97A20">
        <w:rPr>
          <w:i/>
          <w:szCs w:val="22"/>
        </w:rPr>
        <w:t xml:space="preserve">Aspergillus fijiensis </w:t>
      </w:r>
      <w:r w:rsidRPr="00C97A20">
        <w:rPr>
          <w:szCs w:val="22"/>
        </w:rPr>
        <w:t xml:space="preserve">ATCC 20611 </w:t>
      </w:r>
      <w:r w:rsidRPr="00C97A20">
        <w:t xml:space="preserve">as a processing aid as a separate new permission consistent with the current permission for the enzyme in the Code. </w:t>
      </w:r>
      <w:r w:rsidRPr="00C97A20">
        <w:rPr>
          <w:i/>
          <w:szCs w:val="22"/>
        </w:rPr>
        <w:t xml:space="preserve">Aspergillus fijiensis </w:t>
      </w:r>
      <w:r w:rsidRPr="00C97A20">
        <w:rPr>
          <w:szCs w:val="22"/>
        </w:rPr>
        <w:t xml:space="preserve">ATCC 20611 </w:t>
      </w:r>
      <w:r w:rsidR="007F3AE7">
        <w:t>will be</w:t>
      </w:r>
      <w:r w:rsidR="007F3AE7" w:rsidRPr="00C97A20">
        <w:t xml:space="preserve"> </w:t>
      </w:r>
      <w:r w:rsidRPr="00C97A20">
        <w:t>added into the table to subsection S18—4(5) as a source of the enzyme beta-fructofuranosidase (EC 3.2.1.26).</w:t>
      </w:r>
    </w:p>
    <w:p w14:paraId="26029DA4" w14:textId="77777777" w:rsidR="002C1A3B" w:rsidRPr="008C301D" w:rsidRDefault="002C1A3B" w:rsidP="002C1A3B">
      <w:pPr>
        <w:pStyle w:val="Heading2"/>
      </w:pPr>
      <w:bookmarkStart w:id="87" w:name="_Toc93328371"/>
      <w:r>
        <w:lastRenderedPageBreak/>
        <w:t>2</w:t>
      </w:r>
      <w:r w:rsidRPr="008C301D">
        <w:t>.</w:t>
      </w:r>
      <w:r>
        <w:t>4</w:t>
      </w:r>
      <w:r w:rsidRPr="008C301D">
        <w:tab/>
        <w:t>Risk communication</w:t>
      </w:r>
      <w:bookmarkEnd w:id="78"/>
      <w:bookmarkEnd w:id="79"/>
      <w:bookmarkEnd w:id="87"/>
      <w:r w:rsidRPr="008C301D">
        <w:t xml:space="preserve"> </w:t>
      </w:r>
    </w:p>
    <w:p w14:paraId="4D66640F" w14:textId="77777777" w:rsidR="002C1A3B" w:rsidRPr="00A9735E" w:rsidRDefault="002C1A3B" w:rsidP="002C1A3B">
      <w:pPr>
        <w:pStyle w:val="Heading3"/>
      </w:pPr>
      <w:bookmarkStart w:id="88" w:name="_Toc300933437"/>
      <w:bookmarkStart w:id="89" w:name="_Toc370223475"/>
      <w:bookmarkStart w:id="90" w:name="_Toc370225390"/>
      <w:bookmarkStart w:id="91" w:name="_Toc93328372"/>
      <w:r w:rsidRPr="00A9735E">
        <w:t>2.4.1</w:t>
      </w:r>
      <w:r w:rsidRPr="00A9735E">
        <w:tab/>
        <w:t>Consultation</w:t>
      </w:r>
      <w:bookmarkEnd w:id="88"/>
      <w:bookmarkEnd w:id="89"/>
      <w:bookmarkEnd w:id="90"/>
      <w:bookmarkEnd w:id="91"/>
    </w:p>
    <w:p w14:paraId="7CB54423" w14:textId="77777777" w:rsidR="00A9735E" w:rsidRPr="00A9735E" w:rsidRDefault="00A9735E" w:rsidP="00A9735E">
      <w:pPr>
        <w:spacing w:after="240"/>
      </w:pPr>
      <w:bookmarkStart w:id="92" w:name="_Toc370225391"/>
      <w:bookmarkStart w:id="93" w:name="_Toc175381455"/>
      <w:bookmarkEnd w:id="51"/>
      <w:bookmarkEnd w:id="52"/>
      <w:bookmarkEnd w:id="53"/>
      <w:bookmarkEnd w:id="54"/>
      <w:bookmarkEnd w:id="55"/>
      <w:bookmarkEnd w:id="56"/>
      <w:bookmarkEnd w:id="80"/>
      <w:r w:rsidRPr="00A9735E">
        <w:rPr>
          <w:szCs w:val="22"/>
        </w:rPr>
        <w:t xml:space="preserve">Consultation is a key part of FSANZ’s standards development process. </w:t>
      </w:r>
      <w:r w:rsidRPr="00A9735E">
        <w:t>FSANZ developed and applied a basic communication strategy to this application. The call for submissions was notified via the Food Standards Notification Circular, media release, FSANZ’s social media tools and Food Standards News.</w:t>
      </w:r>
    </w:p>
    <w:p w14:paraId="5103FCCF" w14:textId="77777777" w:rsidR="00A9735E" w:rsidRPr="00A9735E" w:rsidRDefault="00A9735E" w:rsidP="00A9735E">
      <w:pPr>
        <w:spacing w:after="240"/>
        <w:rPr>
          <w:szCs w:val="22"/>
        </w:rPr>
      </w:pPr>
      <w:r w:rsidRPr="00A9735E">
        <w:t xml:space="preserve">The process by which FSANZ considers standard development matters is open, accountable, consultative and transparent. Public submissions were called to obtain the views of interested parties on issues raised by the application and the impacts of regulatory options. </w:t>
      </w:r>
      <w:r w:rsidRPr="00A9735E">
        <w:rPr>
          <w:szCs w:val="22"/>
        </w:rPr>
        <w:t>FSANZ acknowledges the time taken by individuals and organisations to make submissions on this application.</w:t>
      </w:r>
    </w:p>
    <w:p w14:paraId="2106620D" w14:textId="55B37E23" w:rsidR="00A9735E" w:rsidRDefault="00A9735E" w:rsidP="00A9735E">
      <w:pPr>
        <w:rPr>
          <w:szCs w:val="22"/>
        </w:rPr>
      </w:pPr>
      <w:r w:rsidRPr="00A9735E">
        <w:t>The draft variation was considered for approval by the FSANZ Board taking into account all public comments received from the call for submissions.</w:t>
      </w:r>
      <w:r w:rsidRPr="00A9735E">
        <w:rPr>
          <w:szCs w:val="22"/>
        </w:rPr>
        <w:t xml:space="preserve"> </w:t>
      </w:r>
    </w:p>
    <w:p w14:paraId="61FADE2D" w14:textId="77777777" w:rsidR="00A9735E" w:rsidRPr="00A9735E" w:rsidRDefault="00A9735E" w:rsidP="00A9735E">
      <w:pPr>
        <w:rPr>
          <w:szCs w:val="22"/>
        </w:rPr>
      </w:pPr>
    </w:p>
    <w:p w14:paraId="7BB973DD" w14:textId="77777777" w:rsidR="002C1A3B" w:rsidRPr="002C1A3B" w:rsidRDefault="002C1A3B" w:rsidP="002C1A3B">
      <w:pPr>
        <w:pStyle w:val="Heading2"/>
      </w:pPr>
      <w:bookmarkStart w:id="94" w:name="_Toc370223477"/>
      <w:bookmarkStart w:id="95" w:name="_Toc370225392"/>
      <w:bookmarkStart w:id="96" w:name="_Toc93328373"/>
      <w:bookmarkStart w:id="97" w:name="_Toc309291816"/>
      <w:bookmarkStart w:id="98" w:name="_Toc300933448"/>
      <w:bookmarkStart w:id="99" w:name="_Toc300933577"/>
      <w:bookmarkStart w:id="100" w:name="_Toc301535601"/>
      <w:bookmarkStart w:id="101" w:name="_Toc309385464"/>
      <w:bookmarkStart w:id="102" w:name="_Toc175381456"/>
      <w:bookmarkEnd w:id="92"/>
      <w:bookmarkEnd w:id="93"/>
      <w:r w:rsidRPr="002C1A3B">
        <w:t>2.5</w:t>
      </w:r>
      <w:r w:rsidRPr="002C1A3B">
        <w:tab/>
        <w:t>FSANZ Act assessment requirements</w:t>
      </w:r>
      <w:bookmarkEnd w:id="94"/>
      <w:bookmarkEnd w:id="95"/>
      <w:bookmarkEnd w:id="96"/>
    </w:p>
    <w:p w14:paraId="149ED78E" w14:textId="2FF9967C" w:rsidR="002C1A3B" w:rsidRPr="00A9735E" w:rsidRDefault="002C1A3B" w:rsidP="002C1A3B">
      <w:pPr>
        <w:pStyle w:val="Heading3"/>
      </w:pPr>
      <w:bookmarkStart w:id="103" w:name="_Toc370223478"/>
      <w:bookmarkStart w:id="104" w:name="_Toc370225393"/>
      <w:bookmarkStart w:id="105" w:name="_Toc93328374"/>
      <w:bookmarkEnd w:id="97"/>
      <w:bookmarkEnd w:id="98"/>
      <w:bookmarkEnd w:id="99"/>
      <w:bookmarkEnd w:id="100"/>
      <w:bookmarkEnd w:id="101"/>
      <w:r w:rsidRPr="002C1A3B">
        <w:t>2.5.1</w:t>
      </w:r>
      <w:r w:rsidRPr="002C1A3B">
        <w:tab/>
      </w:r>
      <w:r w:rsidRPr="00A9735E">
        <w:t>Section 29</w:t>
      </w:r>
      <w:bookmarkEnd w:id="103"/>
      <w:bookmarkEnd w:id="104"/>
      <w:bookmarkEnd w:id="105"/>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5C2D6CE8" w14:textId="77777777" w:rsidR="004C0309" w:rsidRPr="004C0309" w:rsidRDefault="004C0309" w:rsidP="004C0309">
      <w:pPr>
        <w:rPr>
          <w:lang w:bidi="ar-SA"/>
        </w:rPr>
      </w:pPr>
      <w:r w:rsidRPr="004C0309">
        <w:rPr>
          <w:lang w:bidi="ar-SA"/>
        </w:rPr>
        <w:t xml:space="preserve">The Office of Best Practice Regulation (OBPR) granted FSANZ a standing exemption from the requirement to develop a Regulatory Impact Statement for processing aids (OBPR correspondence dated 24 November 2010, reference 12065). This standing exemption was provided as, if the draft variation is approved, the use of the processing aid would be voluntary. This standing exemption relates to food that has been determined to be safe. </w:t>
      </w:r>
    </w:p>
    <w:p w14:paraId="55B7F47E" w14:textId="77777777" w:rsidR="004C0309" w:rsidRPr="004C0309" w:rsidRDefault="004C0309" w:rsidP="004C0309">
      <w:pPr>
        <w:rPr>
          <w:lang w:bidi="ar-SA"/>
        </w:rPr>
      </w:pPr>
    </w:p>
    <w:p w14:paraId="0D2B7B6A" w14:textId="77777777" w:rsidR="004C0309" w:rsidRPr="004C0309" w:rsidRDefault="004C0309" w:rsidP="004C0309">
      <w:pPr>
        <w:rPr>
          <w:lang w:bidi="ar-SA"/>
        </w:rPr>
      </w:pPr>
      <w:r w:rsidRPr="004C0309">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582A4BBA" w14:textId="77777777" w:rsidR="004C0309" w:rsidRPr="004C0309" w:rsidRDefault="004C0309" w:rsidP="004C0309">
      <w:pPr>
        <w:rPr>
          <w:lang w:bidi="ar-SA"/>
        </w:rPr>
      </w:pPr>
    </w:p>
    <w:p w14:paraId="69A7FD94" w14:textId="4EEDFE50" w:rsidR="004C0309" w:rsidRPr="004C0309" w:rsidRDefault="004C0309" w:rsidP="004C0309">
      <w:pPr>
        <w:rPr>
          <w:lang w:bidi="ar-SA"/>
        </w:rPr>
      </w:pPr>
      <w:r w:rsidRPr="004C0309">
        <w:rPr>
          <w:lang w:bidi="ar-SA"/>
        </w:rPr>
        <w:t xml:space="preserve">The purpose of this consideration was to determine if the community, government and industry as a whole was likely to benefit, on balance, from a move from the status quo (i.e. rejecting the application). This analysis considered permitting </w:t>
      </w:r>
      <w:r w:rsidRPr="004C0309">
        <w:t>the use of the enzyme beta-fructofuranosidase</w:t>
      </w:r>
      <w:r w:rsidRPr="004C0309">
        <w:rPr>
          <w:i/>
        </w:rPr>
        <w:t xml:space="preserve"> </w:t>
      </w:r>
      <w:r w:rsidRPr="004C0309">
        <w:t xml:space="preserve">derived from </w:t>
      </w:r>
      <w:r w:rsidRPr="004C0309">
        <w:rPr>
          <w:i/>
        </w:rPr>
        <w:t>A. fijiensis</w:t>
      </w:r>
      <w:r w:rsidRPr="004C0309">
        <w:t xml:space="preserve"> ATCC 20611 as a processing aid</w:t>
      </w:r>
      <w:r w:rsidRPr="004C0309">
        <w:rPr>
          <w:lang w:bidi="ar-SA"/>
        </w:rPr>
        <w:t>. FSANZ is of the view that no other realistic food regulatory measures exist.</w:t>
      </w:r>
    </w:p>
    <w:p w14:paraId="6CB7FCE4" w14:textId="77777777" w:rsidR="004C0309" w:rsidRPr="004C0309" w:rsidRDefault="004C0309" w:rsidP="004C0309">
      <w:pPr>
        <w:rPr>
          <w:lang w:bidi="ar-SA"/>
        </w:rPr>
      </w:pPr>
    </w:p>
    <w:p w14:paraId="696DA6C5" w14:textId="00DF8566" w:rsidR="004C0309" w:rsidRPr="004C0309" w:rsidRDefault="004C0309" w:rsidP="004C0309">
      <w:pPr>
        <w:rPr>
          <w:lang w:bidi="ar-SA"/>
        </w:rPr>
      </w:pPr>
      <w:r w:rsidRPr="004C0309">
        <w:rPr>
          <w:lang w:bidi="ar-SA"/>
        </w:rPr>
        <w:t xml:space="preserve">The consideration of the costs and benefits in this section was not intended to be an exhaustive, quantitative economic analysis of the proposed measures and, in fact, most of the effects that were considered cannot easily be assigned a dollar value. Rather, the assessment sought to highlight the likely positives and negatives of moving away from the status quo by permitting the use of the enzyme beta-fructofuranosidase (EC 3.2.1.26) derived from </w:t>
      </w:r>
      <w:r w:rsidRPr="004C0309">
        <w:rPr>
          <w:i/>
          <w:lang w:bidi="ar-SA"/>
        </w:rPr>
        <w:t>A. fijiensis</w:t>
      </w:r>
      <w:r w:rsidRPr="004C0309">
        <w:rPr>
          <w:lang w:bidi="ar-SA"/>
        </w:rPr>
        <w:t xml:space="preserve"> ATCC 20611.</w:t>
      </w:r>
    </w:p>
    <w:p w14:paraId="2EA3BBCB" w14:textId="77777777" w:rsidR="004C0309" w:rsidRPr="00571B33" w:rsidRDefault="004C0309" w:rsidP="004C0309">
      <w:pPr>
        <w:widowControl/>
        <w:rPr>
          <w:rFonts w:cs="Arial"/>
          <w:i/>
          <w:szCs w:val="22"/>
        </w:rPr>
      </w:pPr>
    </w:p>
    <w:p w14:paraId="5A68279F" w14:textId="77777777" w:rsidR="004C0309" w:rsidRPr="00571B33" w:rsidRDefault="004C0309" w:rsidP="004C0309">
      <w:pPr>
        <w:rPr>
          <w:rFonts w:cs="Arial"/>
          <w:b/>
          <w:i/>
          <w:highlight w:val="yellow"/>
        </w:rPr>
      </w:pPr>
      <w:r w:rsidRPr="00571B33">
        <w:rPr>
          <w:rFonts w:cs="Arial"/>
          <w:b/>
          <w:i/>
          <w:szCs w:val="22"/>
        </w:rPr>
        <w:t xml:space="preserve">Costs and benefits of permitting </w:t>
      </w:r>
      <w:r w:rsidRPr="00571B33">
        <w:rPr>
          <w:rFonts w:cs="Arial"/>
          <w:b/>
          <w:i/>
        </w:rPr>
        <w:t>A. fijiensis as an additional source microorganism for the enzyme beta-fructofuranosidase</w:t>
      </w:r>
    </w:p>
    <w:p w14:paraId="68C4E689" w14:textId="77777777" w:rsidR="004C0309" w:rsidRPr="00571B33" w:rsidRDefault="004C0309" w:rsidP="004C0309">
      <w:pPr>
        <w:rPr>
          <w:rFonts w:eastAsia="Calibri"/>
          <w:lang w:eastAsia="en-AU"/>
        </w:rPr>
      </w:pPr>
    </w:p>
    <w:p w14:paraId="64CD0590" w14:textId="0665C436" w:rsidR="004C0309" w:rsidRPr="00571B33" w:rsidRDefault="004C0309" w:rsidP="004C0309">
      <w:pPr>
        <w:rPr>
          <w:rFonts w:eastAsia="Calibri"/>
          <w:i/>
          <w:lang w:eastAsia="en-AU"/>
        </w:rPr>
      </w:pPr>
      <w:r w:rsidRPr="00571B33">
        <w:rPr>
          <w:rFonts w:eastAsia="Calibri"/>
          <w:i/>
          <w:lang w:eastAsia="en-AU"/>
        </w:rPr>
        <w:t>Industry</w:t>
      </w:r>
    </w:p>
    <w:p w14:paraId="09251174" w14:textId="77777777" w:rsidR="00571B33" w:rsidRPr="00571B33" w:rsidRDefault="00571B33" w:rsidP="004C0309">
      <w:pPr>
        <w:rPr>
          <w:rFonts w:eastAsia="Calibri"/>
          <w:i/>
          <w:lang w:eastAsia="en-AU"/>
        </w:rPr>
      </w:pPr>
    </w:p>
    <w:p w14:paraId="285B3F74" w14:textId="6720751D" w:rsidR="004C0309" w:rsidRPr="00571B33" w:rsidRDefault="004C0309" w:rsidP="004C0309">
      <w:pPr>
        <w:rPr>
          <w:rFonts w:eastAsia="Calibri"/>
          <w:lang w:eastAsia="en-AU"/>
        </w:rPr>
      </w:pPr>
      <w:r w:rsidRPr="00571B33">
        <w:lastRenderedPageBreak/>
        <w:t>Methods for identifying microorganisms are constantly evolving and in some cases microorganisms will be re-</w:t>
      </w:r>
      <w:r w:rsidR="002F5E5B">
        <w:t>classified</w:t>
      </w:r>
      <w:r w:rsidR="002F5E5B" w:rsidRPr="00571B33">
        <w:t xml:space="preserve"> </w:t>
      </w:r>
      <w:r w:rsidRPr="00571B33">
        <w:t xml:space="preserve">as different species. In this application, a microbial source of beta-fructofuranosidase (EC number 3.2.1.26) currently approved in the Code was originally identified as the species </w:t>
      </w:r>
      <w:r w:rsidRPr="00571B33">
        <w:rPr>
          <w:i/>
        </w:rPr>
        <w:t xml:space="preserve">A. niger, </w:t>
      </w:r>
      <w:r w:rsidRPr="00571B33">
        <w:t>but more advanced methods have now identified it as the species</w:t>
      </w:r>
      <w:r w:rsidRPr="00571B33">
        <w:rPr>
          <w:i/>
        </w:rPr>
        <w:t xml:space="preserve"> A. fijiensis. </w:t>
      </w:r>
      <w:r w:rsidRPr="00571B33">
        <w:t xml:space="preserve">The effect of the </w:t>
      </w:r>
      <w:r w:rsidR="008B11E0">
        <w:t xml:space="preserve">approved </w:t>
      </w:r>
      <w:r w:rsidRPr="00571B33">
        <w:t xml:space="preserve">draft variation </w:t>
      </w:r>
      <w:r w:rsidR="008B11E0" w:rsidRPr="00571B33">
        <w:t>w</w:t>
      </w:r>
      <w:r w:rsidR="008B11E0">
        <w:t>ill</w:t>
      </w:r>
      <w:r w:rsidR="008B11E0" w:rsidRPr="00571B33">
        <w:t xml:space="preserve"> </w:t>
      </w:r>
      <w:r w:rsidRPr="00571B33">
        <w:t>be that both names of the same microbial source for beta-fructofuranosidase (EC number 3.2.1.26): ‘</w:t>
      </w:r>
      <w:r w:rsidRPr="00571B33">
        <w:rPr>
          <w:i/>
        </w:rPr>
        <w:t>A. niger</w:t>
      </w:r>
      <w:r w:rsidRPr="00571B33">
        <w:t>’ and ‘</w:t>
      </w:r>
      <w:r w:rsidRPr="00571B33">
        <w:rPr>
          <w:i/>
        </w:rPr>
        <w:t>A. Fijiensis</w:t>
      </w:r>
      <w:r w:rsidRPr="00571B33">
        <w:t xml:space="preserve"> </w:t>
      </w:r>
      <w:r w:rsidRPr="00571B33">
        <w:rPr>
          <w:lang w:val="en-AU"/>
        </w:rPr>
        <w:t xml:space="preserve">ATCC 20611’, will be listed in the table to subsection S18—4(5). </w:t>
      </w:r>
      <w:r w:rsidR="000D3431">
        <w:rPr>
          <w:lang w:val="en-AU"/>
        </w:rPr>
        <w:t>T</w:t>
      </w:r>
      <w:r w:rsidRPr="00571B33">
        <w:rPr>
          <w:lang w:val="en-AU"/>
        </w:rPr>
        <w:t>h</w:t>
      </w:r>
      <w:r w:rsidR="008B11E0">
        <w:rPr>
          <w:lang w:val="en-AU"/>
        </w:rPr>
        <w:t xml:space="preserve">is </w:t>
      </w:r>
      <w:r w:rsidR="002F5E5B">
        <w:rPr>
          <w:lang w:val="en-AU"/>
        </w:rPr>
        <w:t>clarifies</w:t>
      </w:r>
      <w:r w:rsidRPr="00571B33">
        <w:rPr>
          <w:lang w:val="en-AU"/>
        </w:rPr>
        <w:t xml:space="preserve"> the use of different names for the same </w:t>
      </w:r>
      <w:r w:rsidR="002F5E5B">
        <w:rPr>
          <w:lang w:val="en-AU"/>
        </w:rPr>
        <w:t>production organism</w:t>
      </w:r>
      <w:r w:rsidRPr="00571B33">
        <w:rPr>
          <w:lang w:val="en-AU"/>
        </w:rPr>
        <w:t xml:space="preserve">. </w:t>
      </w:r>
      <w:r w:rsidRPr="00571B33">
        <w:rPr>
          <w:rFonts w:cs="Arial"/>
        </w:rPr>
        <w:t>Reference to both names of the microbial source will also be likely to benefit international trade</w:t>
      </w:r>
      <w:r w:rsidR="00EC695A">
        <w:rPr>
          <w:rFonts w:cs="Arial"/>
        </w:rPr>
        <w:t xml:space="preserve"> as noted by the applicant by ensuring clarity in different markets</w:t>
      </w:r>
      <w:r w:rsidRPr="00571B33">
        <w:rPr>
          <w:rFonts w:cs="Arial"/>
        </w:rPr>
        <w:t xml:space="preserve">. </w:t>
      </w:r>
    </w:p>
    <w:p w14:paraId="4F9E0C52" w14:textId="77777777" w:rsidR="004C0309" w:rsidRPr="00571B33" w:rsidRDefault="004C0309" w:rsidP="004C0309">
      <w:pPr>
        <w:rPr>
          <w:rFonts w:eastAsia="Calibri"/>
          <w:lang w:eastAsia="en-AU"/>
        </w:rPr>
      </w:pPr>
    </w:p>
    <w:p w14:paraId="7D4B950E" w14:textId="52D463E0" w:rsidR="004C0309" w:rsidRPr="00571B33" w:rsidRDefault="004C0309" w:rsidP="004C0309">
      <w:pPr>
        <w:rPr>
          <w:i/>
          <w:lang w:bidi="ar-SA"/>
        </w:rPr>
      </w:pPr>
      <w:r w:rsidRPr="00571B33">
        <w:rPr>
          <w:i/>
          <w:lang w:bidi="ar-SA"/>
        </w:rPr>
        <w:t>Consumers</w:t>
      </w:r>
    </w:p>
    <w:p w14:paraId="39086510" w14:textId="77777777" w:rsidR="00571B33" w:rsidRPr="00571B33" w:rsidRDefault="00571B33" w:rsidP="004C0309">
      <w:pPr>
        <w:rPr>
          <w:i/>
          <w:lang w:bidi="ar-SA"/>
        </w:rPr>
      </w:pPr>
    </w:p>
    <w:p w14:paraId="57A2302C" w14:textId="0085BA54" w:rsidR="004C0309" w:rsidRPr="00571B33" w:rsidRDefault="00D463D4" w:rsidP="004C0309">
      <w:pPr>
        <w:rPr>
          <w:rFonts w:cs="Arial"/>
        </w:rPr>
      </w:pPr>
      <w:r>
        <w:rPr>
          <w:rFonts w:cs="Arial"/>
        </w:rPr>
        <w:t>C</w:t>
      </w:r>
      <w:r w:rsidR="004C0309" w:rsidRPr="00571B33">
        <w:rPr>
          <w:rFonts w:cs="Arial"/>
        </w:rPr>
        <w:t xml:space="preserve">onsumers may benefit from the continued and potentially increased use of the enzyme from this microbial source as a processing aid for any technological purpose in all food within Australia and New Zealand with no industry confusion </w:t>
      </w:r>
      <w:r w:rsidR="004C0309" w:rsidRPr="00571B33">
        <w:t>regarding the new identity of the source microorganism</w:t>
      </w:r>
      <w:r w:rsidR="004C0309" w:rsidRPr="00571B33">
        <w:rPr>
          <w:rFonts w:cs="Arial"/>
        </w:rPr>
        <w:t xml:space="preserve">. </w:t>
      </w:r>
    </w:p>
    <w:p w14:paraId="041EEC05" w14:textId="77777777" w:rsidR="004C0309" w:rsidRPr="00571B33" w:rsidRDefault="004C0309" w:rsidP="004C0309">
      <w:pPr>
        <w:rPr>
          <w:lang w:bidi="ar-SA"/>
        </w:rPr>
      </w:pPr>
    </w:p>
    <w:p w14:paraId="31511BBD" w14:textId="525E3443" w:rsidR="004C0309" w:rsidRPr="00571B33" w:rsidRDefault="004C0309" w:rsidP="004C0309">
      <w:pPr>
        <w:rPr>
          <w:i/>
          <w:lang w:bidi="ar-SA"/>
        </w:rPr>
      </w:pPr>
      <w:r w:rsidRPr="00571B33">
        <w:rPr>
          <w:i/>
          <w:lang w:bidi="ar-SA"/>
        </w:rPr>
        <w:t>Government</w:t>
      </w:r>
    </w:p>
    <w:p w14:paraId="0307D4FF" w14:textId="77777777" w:rsidR="00571B33" w:rsidRPr="00571B33" w:rsidRDefault="00571B33" w:rsidP="004C0309">
      <w:pPr>
        <w:rPr>
          <w:i/>
          <w:lang w:bidi="ar-SA"/>
        </w:rPr>
      </w:pPr>
    </w:p>
    <w:p w14:paraId="0FA1E3AD" w14:textId="77777777" w:rsidR="004C0309" w:rsidRPr="00571B33" w:rsidRDefault="004C0309" w:rsidP="004C0309">
      <w:pPr>
        <w:rPr>
          <w:rFonts w:cs="Arial"/>
        </w:rPr>
      </w:pPr>
      <w:r w:rsidRPr="00571B33">
        <w:rPr>
          <w:rFonts w:cs="Arial"/>
        </w:rPr>
        <w:t xml:space="preserve">Permitting the enzyme beta-fructofuranosidase sourced from </w:t>
      </w:r>
      <w:r w:rsidRPr="00571B33">
        <w:rPr>
          <w:rFonts w:cs="Arial"/>
          <w:i/>
        </w:rPr>
        <w:t xml:space="preserve">A. fijiensis </w:t>
      </w:r>
      <w:r w:rsidRPr="00571B33">
        <w:rPr>
          <w:rFonts w:cs="Arial"/>
        </w:rPr>
        <w:t>ATCC 20611 may result in a small and inconsequential cost to government in terms of adding the new microbial source name for the enzyme</w:t>
      </w:r>
      <w:r w:rsidRPr="00571B33">
        <w:rPr>
          <w:rFonts w:cs="Arial"/>
          <w:i/>
        </w:rPr>
        <w:t xml:space="preserve"> </w:t>
      </w:r>
      <w:r w:rsidRPr="00571B33">
        <w:rPr>
          <w:rFonts w:cs="Arial"/>
        </w:rPr>
        <w:t>beta-fructofuranosidase to the current range of processing aids that are monitored for compliance.</w:t>
      </w:r>
    </w:p>
    <w:p w14:paraId="50A8184C" w14:textId="77777777" w:rsidR="004C0309" w:rsidRPr="00571B33" w:rsidRDefault="004C0309" w:rsidP="004C0309">
      <w:pPr>
        <w:rPr>
          <w:lang w:bidi="ar-SA"/>
        </w:rPr>
      </w:pPr>
    </w:p>
    <w:p w14:paraId="5BB8FB24" w14:textId="30B6AA42" w:rsidR="004C0309" w:rsidRPr="00571B33" w:rsidRDefault="004C0309" w:rsidP="004C0309">
      <w:pPr>
        <w:rPr>
          <w:i/>
        </w:rPr>
      </w:pPr>
      <w:r w:rsidRPr="00571B33">
        <w:rPr>
          <w:i/>
        </w:rPr>
        <w:t>Conclusions from cost benefit considerations</w:t>
      </w:r>
    </w:p>
    <w:p w14:paraId="6AAE7C97" w14:textId="77777777" w:rsidR="00571B33" w:rsidRPr="00571B33" w:rsidRDefault="00571B33" w:rsidP="004C0309">
      <w:pPr>
        <w:rPr>
          <w:i/>
        </w:rPr>
      </w:pPr>
    </w:p>
    <w:p w14:paraId="1B72ED3B" w14:textId="214E1187" w:rsidR="00F53911" w:rsidRPr="00571B33" w:rsidRDefault="004C0309" w:rsidP="004C0309">
      <w:pPr>
        <w:rPr>
          <w:lang w:bidi="ar-SA"/>
        </w:rPr>
      </w:pPr>
      <w:r w:rsidRPr="00571B33">
        <w:rPr>
          <w:lang w:bidi="ar-SA"/>
        </w:rPr>
        <w:t xml:space="preserve">FSANZ’s assessment </w:t>
      </w:r>
      <w:r w:rsidR="00F53911">
        <w:rPr>
          <w:lang w:bidi="ar-SA"/>
        </w:rPr>
        <w:t xml:space="preserve">at the call for submissions </w:t>
      </w:r>
      <w:r w:rsidRPr="00571B33">
        <w:rPr>
          <w:lang w:bidi="ar-SA"/>
        </w:rPr>
        <w:t xml:space="preserve">was that the direct and indirect benefits that would arise from permitting the use of </w:t>
      </w:r>
      <w:r w:rsidRPr="00571B33">
        <w:t xml:space="preserve">the enzyme beta-fructofuranosidase </w:t>
      </w:r>
      <w:r w:rsidRPr="00571B33">
        <w:rPr>
          <w:rFonts w:eastAsia="Calibri"/>
          <w:iCs/>
          <w:lang w:eastAsia="en-AU"/>
        </w:rPr>
        <w:t xml:space="preserve">derived from </w:t>
      </w:r>
      <w:r w:rsidRPr="00571B33">
        <w:rPr>
          <w:i/>
        </w:rPr>
        <w:t>A</w:t>
      </w:r>
      <w:r w:rsidR="00D463D4" w:rsidRPr="00571B33">
        <w:rPr>
          <w:i/>
        </w:rPr>
        <w:t>.</w:t>
      </w:r>
      <w:r w:rsidR="00D463D4">
        <w:rPr>
          <w:i/>
        </w:rPr>
        <w:t> </w:t>
      </w:r>
      <w:r w:rsidRPr="00571B33">
        <w:rPr>
          <w:i/>
        </w:rPr>
        <w:t>fijiensis</w:t>
      </w:r>
      <w:r w:rsidRPr="00571B33">
        <w:t xml:space="preserve"> ATCC 20611 as a processing aid</w:t>
      </w:r>
      <w:r w:rsidRPr="00571B33">
        <w:rPr>
          <w:lang w:bidi="ar-SA"/>
        </w:rPr>
        <w:t xml:space="preserve"> most likely outweigh the associated costs.</w:t>
      </w:r>
      <w:r w:rsidR="00F53911">
        <w:rPr>
          <w:lang w:bidi="ar-SA"/>
        </w:rPr>
        <w:t xml:space="preserve"> </w:t>
      </w:r>
      <w:r w:rsidR="00F53911" w:rsidRPr="006605B6">
        <w:rPr>
          <w:lang w:bidi="ar-SA"/>
        </w:rPr>
        <w:t>No further information was received during the consultation process that changed the findings from the analysis of costs and benefits in the call for submissions.</w:t>
      </w:r>
    </w:p>
    <w:p w14:paraId="494870A6" w14:textId="77777777" w:rsidR="002C1A3B" w:rsidRPr="002C1A3B" w:rsidRDefault="002C1A3B" w:rsidP="002C1A3B">
      <w:pPr>
        <w:pStyle w:val="Heading4"/>
      </w:pPr>
      <w:r w:rsidRPr="002C1A3B">
        <w:t>2.5.1.2</w:t>
      </w:r>
      <w:r w:rsidRPr="002C1A3B">
        <w:tab/>
        <w:t>Other measures</w:t>
      </w:r>
    </w:p>
    <w:p w14:paraId="7B16675E" w14:textId="126926DD" w:rsidR="002C1A3B" w:rsidRPr="00786FB6" w:rsidRDefault="002C1A3B" w:rsidP="002C1A3B">
      <w:r w:rsidRPr="002C1A3B">
        <w:t xml:space="preserve">There are no other measures (whether available to FSANZ or not) that would be more cost-effective than a food regulatory measure developed or varied as a result of the </w:t>
      </w:r>
      <w:r w:rsidR="00786FB6" w:rsidRPr="00786FB6">
        <w:t>a</w:t>
      </w:r>
      <w:r w:rsidRPr="00786FB6">
        <w:t>pplication.</w:t>
      </w:r>
    </w:p>
    <w:p w14:paraId="258883E6" w14:textId="77777777" w:rsidR="002C1A3B" w:rsidRPr="002C1A3B" w:rsidRDefault="002C1A3B" w:rsidP="002C1A3B">
      <w:pPr>
        <w:pStyle w:val="Heading4"/>
      </w:pPr>
      <w:r w:rsidRPr="002C1A3B">
        <w:t>2.5.1.3</w:t>
      </w:r>
      <w:r w:rsidRPr="002C1A3B">
        <w:tab/>
        <w:t>Any relevant New Zealand standards</w:t>
      </w:r>
    </w:p>
    <w:p w14:paraId="0AD4A0F3" w14:textId="575D0020" w:rsidR="00786FB6" w:rsidRPr="00786FB6" w:rsidRDefault="00CB1FAF" w:rsidP="00786FB6">
      <w:pPr>
        <w:rPr>
          <w:lang w:bidi="ar-SA"/>
        </w:rPr>
      </w:pPr>
      <w:r w:rsidRPr="00CB1FAF">
        <w:rPr>
          <w:lang w:bidi="ar-SA"/>
        </w:rPr>
        <w:t xml:space="preserve">The </w:t>
      </w:r>
      <w:r w:rsidR="000D1C46">
        <w:rPr>
          <w:lang w:bidi="ar-SA"/>
        </w:rPr>
        <w:t xml:space="preserve">relevant </w:t>
      </w:r>
      <w:r>
        <w:rPr>
          <w:lang w:bidi="ar-SA"/>
        </w:rPr>
        <w:t>s</w:t>
      </w:r>
      <w:r w:rsidRPr="00CB1FAF">
        <w:rPr>
          <w:lang w:bidi="ar-SA"/>
        </w:rPr>
        <w:t>tandards apply in both Australia and New Zealand</w:t>
      </w:r>
      <w:r w:rsidR="00786FB6" w:rsidRPr="00786FB6">
        <w:rPr>
          <w:lang w:bidi="ar-SA"/>
        </w:rPr>
        <w:t>. There are no relevant New Zealand only standards.</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106" w:name="_Toc370223479"/>
      <w:bookmarkStart w:id="107" w:name="_Toc370225394"/>
      <w:bookmarkStart w:id="108" w:name="_Toc300761897"/>
      <w:bookmarkStart w:id="109" w:name="_Toc300933440"/>
      <w:r>
        <w:t>Other relevant matters are considered below</w:t>
      </w:r>
      <w:r>
        <w:rPr>
          <w:lang w:bidi="ar-SA"/>
        </w:rPr>
        <w:t>.</w:t>
      </w:r>
      <w:r>
        <w:t xml:space="preserve"> </w:t>
      </w:r>
    </w:p>
    <w:p w14:paraId="10CCAF40" w14:textId="51999D4F" w:rsidR="002C1A3B" w:rsidRPr="002C1A3B" w:rsidRDefault="002C1A3B" w:rsidP="002C1A3B">
      <w:pPr>
        <w:pStyle w:val="Heading3"/>
      </w:pPr>
      <w:bookmarkStart w:id="110" w:name="_Toc93328375"/>
      <w:r w:rsidRPr="002C1A3B">
        <w:t>2.5.2</w:t>
      </w:r>
      <w:r w:rsidRPr="002C1A3B">
        <w:tab/>
        <w:t>Subsection 18(1)</w:t>
      </w:r>
      <w:bookmarkEnd w:id="106"/>
      <w:bookmarkEnd w:id="107"/>
      <w:bookmarkEnd w:id="110"/>
      <w:r w:rsidRPr="002C1A3B">
        <w:t xml:space="preserve"> </w:t>
      </w:r>
      <w:bookmarkEnd w:id="108"/>
      <w:bookmarkEnd w:id="109"/>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111" w:name="_Toc297029117"/>
      <w:bookmarkStart w:id="112" w:name="_Toc300761898"/>
      <w:bookmarkStart w:id="113" w:name="_Toc300933441"/>
      <w:r w:rsidRPr="002C1A3B">
        <w:rPr>
          <w:lang w:eastAsia="en-AU"/>
        </w:rPr>
        <w:t>2.5.2.1</w:t>
      </w:r>
      <w:r w:rsidRPr="002C1A3B">
        <w:rPr>
          <w:lang w:eastAsia="en-AU"/>
        </w:rPr>
        <w:tab/>
        <w:t>Protection of public health and safety</w:t>
      </w:r>
      <w:bookmarkEnd w:id="111"/>
      <w:bookmarkEnd w:id="112"/>
      <w:bookmarkEnd w:id="113"/>
    </w:p>
    <w:p w14:paraId="5C697E14" w14:textId="1C766669" w:rsidR="002C1A3B" w:rsidRPr="00786FB6" w:rsidRDefault="00786FB6" w:rsidP="002C1A3B">
      <w:r w:rsidRPr="00106EE9">
        <w:t xml:space="preserve">FSANZ has undertaken a safety assessment (SD1) and concluded there are no public health </w:t>
      </w:r>
      <w:r w:rsidRPr="00106EE9">
        <w:lastRenderedPageBreak/>
        <w:t>and safety concerns with permitting</w:t>
      </w:r>
      <w:r>
        <w:t xml:space="preserve"> </w:t>
      </w:r>
      <w:r>
        <w:rPr>
          <w:lang w:bidi="ar-SA"/>
        </w:rPr>
        <w:t xml:space="preserve">the use of </w:t>
      </w:r>
      <w:r w:rsidRPr="00654250">
        <w:t>the enzyme beta-fructofuranosidase</w:t>
      </w:r>
      <w:r>
        <w:t xml:space="preserve"> </w:t>
      </w:r>
      <w:r>
        <w:rPr>
          <w:rFonts w:eastAsia="Calibri"/>
          <w:iCs/>
          <w:lang w:eastAsia="en-AU"/>
        </w:rPr>
        <w:t xml:space="preserve">derived from </w:t>
      </w:r>
      <w:r w:rsidRPr="00654250">
        <w:rPr>
          <w:i/>
        </w:rPr>
        <w:t>A. fijiensis</w:t>
      </w:r>
      <w:r>
        <w:rPr>
          <w:i/>
        </w:rPr>
        <w:t xml:space="preserve"> </w:t>
      </w:r>
      <w:r>
        <w:t xml:space="preserve">ATCC 20611 </w:t>
      </w:r>
      <w:r w:rsidRPr="00DB07CA">
        <w:t>as a processing aid</w:t>
      </w:r>
      <w:r>
        <w:t xml:space="preserve">. </w:t>
      </w:r>
      <w:r w:rsidRPr="00587D6A">
        <w:t xml:space="preserve">It </w:t>
      </w:r>
      <w:r w:rsidRPr="008A3E40">
        <w:t>is</w:t>
      </w:r>
      <w:r w:rsidRPr="00587D6A">
        <w:t xml:space="preserve"> recommended that the source organism be designated at the strain level (i.e. ATCC 20611) rather than the species level</w:t>
      </w:r>
      <w:r>
        <w:rPr>
          <w:color w:val="000000" w:themeColor="text1"/>
          <w:szCs w:val="22"/>
        </w:rPr>
        <w:t xml:space="preserve"> as</w:t>
      </w:r>
      <w:r>
        <w:t xml:space="preserve"> </w:t>
      </w:r>
      <w:r>
        <w:rPr>
          <w:rFonts w:cs="Arial"/>
          <w:color w:val="000000" w:themeColor="text1"/>
          <w:szCs w:val="22"/>
        </w:rPr>
        <w:t xml:space="preserve">scientific data is limited for the species but </w:t>
      </w:r>
      <w:r>
        <w:t>the</w:t>
      </w:r>
      <w:r w:rsidRPr="00587D6A">
        <w:t xml:space="preserve"> strain </w:t>
      </w:r>
      <w:r w:rsidRPr="00587D6A">
        <w:rPr>
          <w:rFonts w:cs="Arial"/>
          <w:i/>
          <w:iCs/>
          <w:color w:val="000000" w:themeColor="text1"/>
          <w:szCs w:val="22"/>
        </w:rPr>
        <w:t>A. fijiensis</w:t>
      </w:r>
      <w:r w:rsidRPr="00587D6A">
        <w:rPr>
          <w:rFonts w:cs="Arial"/>
          <w:color w:val="000000" w:themeColor="text1"/>
          <w:szCs w:val="22"/>
        </w:rPr>
        <w:t xml:space="preserve"> </w:t>
      </w:r>
      <w:r w:rsidRPr="008A3E40">
        <w:rPr>
          <w:rFonts w:cs="Arial"/>
          <w:color w:val="000000" w:themeColor="text1"/>
          <w:szCs w:val="22"/>
        </w:rPr>
        <w:t>ATCC 20611</w:t>
      </w:r>
      <w:r w:rsidRPr="00587D6A">
        <w:rPr>
          <w:rFonts w:cs="Arial"/>
          <w:color w:val="000000" w:themeColor="text1"/>
          <w:szCs w:val="22"/>
          <w:vertAlign w:val="superscript"/>
        </w:rPr>
        <w:t xml:space="preserve"> </w:t>
      </w:r>
      <w:r w:rsidRPr="0006332F">
        <w:rPr>
          <w:color w:val="000000" w:themeColor="text1"/>
          <w:lang w:bidi="ar-SA"/>
        </w:rPr>
        <w:t>is neither toxigenic nor pathogenic</w:t>
      </w:r>
      <w:r w:rsidRPr="00786FB6">
        <w:rPr>
          <w:lang w:bidi="ar-SA"/>
        </w:rPr>
        <w:t>.</w:t>
      </w:r>
    </w:p>
    <w:p w14:paraId="5616BD60" w14:textId="77777777" w:rsidR="002C1A3B" w:rsidRPr="002C1A3B" w:rsidRDefault="002C1A3B" w:rsidP="002C1A3B">
      <w:pPr>
        <w:pStyle w:val="Heading4"/>
        <w:rPr>
          <w:lang w:eastAsia="en-AU"/>
        </w:rPr>
      </w:pPr>
      <w:bookmarkStart w:id="114" w:name="_Toc300761899"/>
      <w:bookmarkStart w:id="115" w:name="_Toc300933442"/>
      <w:r w:rsidRPr="002C1A3B">
        <w:rPr>
          <w:lang w:eastAsia="en-AU"/>
        </w:rPr>
        <w:t>2.5.2.2</w:t>
      </w:r>
      <w:r w:rsidRPr="002C1A3B">
        <w:rPr>
          <w:lang w:eastAsia="en-AU"/>
        </w:rPr>
        <w:tab/>
        <w:t>The provision of adequate information relating to food to enable consumers to make informed choices</w:t>
      </w:r>
      <w:bookmarkEnd w:id="114"/>
      <w:bookmarkEnd w:id="115"/>
    </w:p>
    <w:p w14:paraId="416BEC3C" w14:textId="48CFFAF4" w:rsidR="002C1A3B" w:rsidRPr="00786FB6" w:rsidRDefault="00786FB6" w:rsidP="002C1A3B">
      <w:r w:rsidRPr="00040169">
        <w:t xml:space="preserve">The labelling requirements related to </w:t>
      </w:r>
      <w:r w:rsidRPr="00106EE9">
        <w:t xml:space="preserve">permitting </w:t>
      </w:r>
      <w:r>
        <w:t xml:space="preserve">the use of the </w:t>
      </w:r>
      <w:r w:rsidRPr="00877EB0">
        <w:t>enzyme beta-fructofuranosidase</w:t>
      </w:r>
      <w:r w:rsidRPr="00877EB0">
        <w:rPr>
          <w:rFonts w:eastAsia="Calibri"/>
          <w:i/>
          <w:iCs/>
          <w:lang w:eastAsia="en-AU"/>
        </w:rPr>
        <w:t xml:space="preserve"> </w:t>
      </w:r>
      <w:r>
        <w:rPr>
          <w:rFonts w:eastAsia="Calibri"/>
          <w:iCs/>
          <w:lang w:eastAsia="en-AU"/>
        </w:rPr>
        <w:t xml:space="preserve">derived from </w:t>
      </w:r>
      <w:r w:rsidRPr="00877EB0">
        <w:rPr>
          <w:i/>
        </w:rPr>
        <w:t>A. fijiensis</w:t>
      </w:r>
      <w:r>
        <w:t xml:space="preserve"> ATCC 20611 </w:t>
      </w:r>
      <w:r w:rsidRPr="00877EB0">
        <w:t>as a processing aid</w:t>
      </w:r>
      <w:r w:rsidRPr="00040169">
        <w:t xml:space="preserve"> are discussed in </w:t>
      </w:r>
      <w:r w:rsidRPr="00900848">
        <w:t xml:space="preserve">section </w:t>
      </w:r>
      <w:r w:rsidRPr="00786FB6">
        <w:t>2.3.3</w:t>
      </w:r>
      <w:r w:rsidRPr="00040169">
        <w:t xml:space="preserve"> </w:t>
      </w:r>
      <w:r w:rsidRPr="00786FB6">
        <w:t>above.</w:t>
      </w:r>
    </w:p>
    <w:p w14:paraId="645283E6" w14:textId="77777777" w:rsidR="002C1A3B" w:rsidRPr="002C1A3B" w:rsidRDefault="002C1A3B" w:rsidP="002C1A3B">
      <w:pPr>
        <w:pStyle w:val="Heading4"/>
        <w:rPr>
          <w:lang w:eastAsia="en-AU"/>
        </w:rPr>
      </w:pPr>
      <w:bookmarkStart w:id="116" w:name="_Toc300761900"/>
      <w:bookmarkStart w:id="117" w:name="_Toc300933443"/>
      <w:r w:rsidRPr="002C1A3B">
        <w:rPr>
          <w:lang w:eastAsia="en-AU"/>
        </w:rPr>
        <w:t>2.5.2.3</w:t>
      </w:r>
      <w:r w:rsidRPr="002C1A3B">
        <w:rPr>
          <w:lang w:eastAsia="en-AU"/>
        </w:rPr>
        <w:tab/>
        <w:t>The prevention of misleading or deceptive conduct</w:t>
      </w:r>
      <w:bookmarkEnd w:id="116"/>
      <w:bookmarkEnd w:id="117"/>
    </w:p>
    <w:p w14:paraId="4C9B010B" w14:textId="24C1C6A0" w:rsidR="002C1A3B" w:rsidRPr="00786FB6" w:rsidRDefault="00786FB6" w:rsidP="002C1A3B">
      <w:r w:rsidRPr="0061148F">
        <w:t>There are no issues identified with this application relevant to this objective</w:t>
      </w:r>
      <w:r w:rsidRPr="00786FB6">
        <w:t>.</w:t>
      </w:r>
    </w:p>
    <w:p w14:paraId="7183F1D0" w14:textId="77777777" w:rsidR="002C1A3B" w:rsidRPr="002C1A3B" w:rsidRDefault="002C1A3B" w:rsidP="002C1A3B">
      <w:pPr>
        <w:keepNext/>
        <w:spacing w:before="240" w:after="240"/>
        <w:ind w:left="851" w:hanging="851"/>
        <w:outlineLvl w:val="2"/>
        <w:rPr>
          <w:b/>
          <w:bCs/>
          <w:lang w:eastAsia="en-AU" w:bidi="ar-SA"/>
        </w:rPr>
      </w:pPr>
      <w:bookmarkStart w:id="118" w:name="_Toc300761901"/>
      <w:bookmarkStart w:id="119" w:name="_Toc300933444"/>
      <w:bookmarkStart w:id="120" w:name="_Toc370223480"/>
      <w:bookmarkStart w:id="121" w:name="_Toc370225395"/>
      <w:r w:rsidRPr="002C1A3B">
        <w:rPr>
          <w:b/>
          <w:bCs/>
          <w:lang w:eastAsia="en-AU" w:bidi="ar-SA"/>
        </w:rPr>
        <w:t>2.5.3</w:t>
      </w:r>
      <w:r w:rsidRPr="002C1A3B">
        <w:rPr>
          <w:b/>
          <w:bCs/>
          <w:lang w:eastAsia="en-AU" w:bidi="ar-SA"/>
        </w:rPr>
        <w:tab/>
        <w:t xml:space="preserve">Subsection 18(2) </w:t>
      </w:r>
      <w:bookmarkEnd w:id="118"/>
      <w:bookmarkEnd w:id="119"/>
      <w:r w:rsidRPr="002C1A3B">
        <w:rPr>
          <w:b/>
          <w:bCs/>
          <w:lang w:eastAsia="en-AU" w:bidi="ar-SA"/>
        </w:rPr>
        <w:t>considerations</w:t>
      </w:r>
      <w:bookmarkEnd w:id="120"/>
      <w:bookmarkEnd w:id="121"/>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D10F662" w14:textId="77777777" w:rsidR="002C1A3B" w:rsidRPr="002C1A3B" w:rsidRDefault="002C1A3B" w:rsidP="002C1A3B">
      <w:pPr>
        <w:rPr>
          <w:lang w:bidi="ar-SA"/>
        </w:rPr>
      </w:pPr>
    </w:p>
    <w:p w14:paraId="5EC8C738" w14:textId="11741151" w:rsidR="002C1A3B" w:rsidRPr="00786FB6" w:rsidRDefault="00786FB6" w:rsidP="002C1A3B">
      <w:r w:rsidRPr="0061148F">
        <w:t xml:space="preserve">FSANZ has used the best available scientific evidence to conduct the risk analysis, which is provided in SD1. The applicant submitted a dossier of scientific studies as part of the application. </w:t>
      </w:r>
      <w:r>
        <w:t>FSANZ had regard to t</w:t>
      </w:r>
      <w:r w:rsidRPr="0061148F">
        <w:t>his dossier, together with other technical information including scientific literature, in assessing the application</w:t>
      </w:r>
      <w:r w:rsidRPr="00786FB6">
        <w:t>.</w:t>
      </w:r>
    </w:p>
    <w:p w14:paraId="578FA355" w14:textId="77777777" w:rsidR="002C1A3B" w:rsidRPr="002C1A3B" w:rsidRDefault="002C1A3B" w:rsidP="002C1A3B">
      <w:pPr>
        <w:rPr>
          <w:lang w:bidi="ar-SA"/>
        </w:rPr>
      </w:pP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28DE519F" w14:textId="77777777" w:rsidR="002C1A3B" w:rsidRPr="002C1A3B" w:rsidRDefault="002C1A3B" w:rsidP="002C1A3B">
      <w:pPr>
        <w:rPr>
          <w:lang w:bidi="ar-SA"/>
        </w:rPr>
      </w:pPr>
    </w:p>
    <w:p w14:paraId="64ED9950" w14:textId="77777777" w:rsidR="00786FB6" w:rsidRPr="00786FB6" w:rsidRDefault="00786FB6" w:rsidP="00786FB6">
      <w:r w:rsidRPr="00786FB6">
        <w:t xml:space="preserve">There are no Codex Alimentarius Standards for enzymes. The enzyme meets international specifications for enzyme preparations, being the JECFA Compendium of Food Additive Specifications and the Food Chemicals Codex specifications for enzymes. The enzyme is permitted for use in food production in a number of countries; being the USA, France, Canada and Japan. The permissions for the enzyme also includes the microbial source of </w:t>
      </w:r>
      <w:r w:rsidRPr="00786FB6">
        <w:rPr>
          <w:i/>
        </w:rPr>
        <w:t>Aspergillus fijiensis</w:t>
      </w:r>
      <w:r w:rsidRPr="00786FB6">
        <w:t xml:space="preserve"> in France and Canada.</w:t>
      </w:r>
    </w:p>
    <w:p w14:paraId="0B5AD2DA" w14:textId="77777777" w:rsidR="002C1A3B" w:rsidRPr="002C1A3B" w:rsidRDefault="002C1A3B" w:rsidP="002C1A3B">
      <w:pPr>
        <w:rPr>
          <w:lang w:bidi="ar-SA"/>
        </w:rPr>
      </w:pP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5D0293BD" w14:textId="77777777" w:rsidR="002C1A3B" w:rsidRPr="002C1A3B" w:rsidRDefault="002C1A3B" w:rsidP="002C1A3B">
      <w:pPr>
        <w:rPr>
          <w:lang w:bidi="ar-SA"/>
        </w:rPr>
      </w:pPr>
    </w:p>
    <w:p w14:paraId="72F47EDA" w14:textId="1EDFEA4A" w:rsidR="00786FB6" w:rsidRPr="00786FB6" w:rsidRDefault="00786FB6" w:rsidP="00786FB6">
      <w:r w:rsidRPr="00786FB6">
        <w:t xml:space="preserve">As mentioned above permissions for the enzyme also includes the microbial source of </w:t>
      </w:r>
      <w:r w:rsidRPr="00786FB6">
        <w:rPr>
          <w:i/>
        </w:rPr>
        <w:t>Aspergillus fijiensis</w:t>
      </w:r>
      <w:r w:rsidRPr="00786FB6">
        <w:t xml:space="preserve"> in France and Canada, which is the purpose of the application. Therefore, permission to use this enzyme derived from </w:t>
      </w:r>
      <w:r w:rsidRPr="00786FB6">
        <w:rPr>
          <w:i/>
        </w:rPr>
        <w:t>Aspergillus fijiensis</w:t>
      </w:r>
      <w:r w:rsidRPr="00786FB6">
        <w:t xml:space="preserve"> ATCC 20611 would bring Australia and New Zealand into line with the other countries where it is already permitted.</w:t>
      </w:r>
    </w:p>
    <w:p w14:paraId="340BFA6D" w14:textId="77777777" w:rsidR="002C1A3B" w:rsidRPr="002C1A3B" w:rsidRDefault="002C1A3B" w:rsidP="002C1A3B">
      <w:pPr>
        <w:rPr>
          <w:lang w:bidi="ar-SA"/>
        </w:rPr>
      </w:pPr>
    </w:p>
    <w:p w14:paraId="4A92FA8B" w14:textId="77777777" w:rsidR="002C1A3B" w:rsidRPr="002C1A3B" w:rsidRDefault="002C1A3B" w:rsidP="002C1A3B">
      <w:pPr>
        <w:pStyle w:val="FSBullet1"/>
        <w:rPr>
          <w:b/>
        </w:rPr>
      </w:pPr>
      <w:r w:rsidRPr="002C1A3B">
        <w:rPr>
          <w:b/>
        </w:rPr>
        <w:t>the promotion of fair trading in food</w:t>
      </w:r>
    </w:p>
    <w:p w14:paraId="03A28343" w14:textId="77777777" w:rsidR="002C1A3B" w:rsidRPr="002C1A3B" w:rsidRDefault="002C1A3B" w:rsidP="002C1A3B">
      <w:pPr>
        <w:rPr>
          <w:lang w:bidi="ar-SA"/>
        </w:rPr>
      </w:pPr>
    </w:p>
    <w:p w14:paraId="0C924FE0" w14:textId="23D35DD0" w:rsidR="002C1A3B" w:rsidRPr="00786FB6" w:rsidRDefault="00786FB6" w:rsidP="002C1A3B">
      <w:r w:rsidRPr="002E0B4D">
        <w:t xml:space="preserve">No issues were identified for this </w:t>
      </w:r>
      <w:r>
        <w:t>a</w:t>
      </w:r>
      <w:r w:rsidRPr="002E0B4D">
        <w:t>pplication relevant to this objective</w:t>
      </w:r>
      <w:r w:rsidRPr="00786FB6">
        <w:t>.</w:t>
      </w:r>
    </w:p>
    <w:p w14:paraId="640EF022" w14:textId="77777777" w:rsidR="002C1A3B" w:rsidRPr="002C1A3B" w:rsidRDefault="002C1A3B" w:rsidP="002C1A3B">
      <w:pPr>
        <w:rPr>
          <w:lang w:bidi="ar-SA"/>
        </w:rPr>
      </w:pPr>
    </w:p>
    <w:p w14:paraId="2C1F2530" w14:textId="24B2BA1E" w:rsidR="002C1A3B" w:rsidRPr="002C1A3B" w:rsidRDefault="002C1A3B" w:rsidP="002C1A3B">
      <w:pPr>
        <w:pStyle w:val="FSBullet1"/>
        <w:rPr>
          <w:b/>
        </w:rPr>
      </w:pPr>
      <w:r w:rsidRPr="002C1A3B">
        <w:rPr>
          <w:b/>
        </w:rPr>
        <w:t xml:space="preserve">any written policy guidelines formulated by the </w:t>
      </w:r>
      <w:r w:rsidR="00291734" w:rsidRPr="00291734">
        <w:rPr>
          <w:rFonts w:cs="Times New Roman"/>
          <w:b/>
          <w:lang w:bidi="en-US"/>
        </w:rPr>
        <w:t>Food Ministers’ Meeting</w:t>
      </w:r>
      <w:r w:rsidR="00291734" w:rsidRPr="00291734">
        <w:rPr>
          <w:rFonts w:cs="Times New Roman"/>
          <w:b/>
          <w:vertAlign w:val="superscript"/>
          <w:lang w:bidi="en-US"/>
        </w:rPr>
        <w:footnoteReference w:id="6"/>
      </w:r>
    </w:p>
    <w:p w14:paraId="41E27E4D" w14:textId="77777777" w:rsidR="002C1A3B" w:rsidRPr="002C1A3B" w:rsidRDefault="002C1A3B" w:rsidP="002C1A3B">
      <w:pPr>
        <w:rPr>
          <w:lang w:bidi="ar-SA"/>
        </w:rPr>
      </w:pPr>
    </w:p>
    <w:p w14:paraId="403BE9B3" w14:textId="77777777" w:rsidR="00291734" w:rsidRPr="00291734" w:rsidRDefault="00291734" w:rsidP="00291734">
      <w:r w:rsidRPr="00291734">
        <w:t>The Ministerial Policy Guideline Addition to Food of Substances other than Vitamins and Minerals</w:t>
      </w:r>
      <w:r w:rsidRPr="00291734">
        <w:rPr>
          <w:sz w:val="20"/>
          <w:szCs w:val="20"/>
          <w:vertAlign w:val="superscript"/>
        </w:rPr>
        <w:footnoteReference w:id="7"/>
      </w:r>
      <w:r w:rsidRPr="00291734">
        <w:t xml:space="preserve"> includes specific order policy principles for substances added to achieve a solely technological function, such as processing aids. These specific order policy principles state that permission should be granted where:</w:t>
      </w:r>
    </w:p>
    <w:p w14:paraId="5581607A" w14:textId="77777777" w:rsidR="00291734" w:rsidRPr="00291734" w:rsidRDefault="00291734" w:rsidP="00291734"/>
    <w:p w14:paraId="5F5F0A1A" w14:textId="77777777" w:rsidR="00291734" w:rsidRPr="00291734" w:rsidRDefault="00291734" w:rsidP="00291734">
      <w:pPr>
        <w:widowControl/>
        <w:numPr>
          <w:ilvl w:val="0"/>
          <w:numId w:val="6"/>
        </w:numPr>
        <w:contextualSpacing/>
        <w:rPr>
          <w:rFonts w:cs="Arial"/>
          <w:lang w:bidi="ar-SA"/>
        </w:rPr>
      </w:pPr>
      <w:r w:rsidRPr="00291734">
        <w:rPr>
          <w:rFonts w:cs="Arial"/>
          <w:lang w:bidi="ar-SA"/>
        </w:rPr>
        <w:t>the purpose for adding the substance can be articulated clearly by the manufacturer as achieving a solely technological function (i.e. the ‘stated purpose’)</w:t>
      </w:r>
    </w:p>
    <w:p w14:paraId="5C1362DB" w14:textId="77777777" w:rsidR="00291734" w:rsidRPr="00291734" w:rsidRDefault="00291734" w:rsidP="00291734">
      <w:pPr>
        <w:widowControl/>
        <w:numPr>
          <w:ilvl w:val="0"/>
          <w:numId w:val="6"/>
        </w:numPr>
        <w:contextualSpacing/>
        <w:rPr>
          <w:rFonts w:cs="Arial"/>
          <w:lang w:bidi="ar-SA"/>
        </w:rPr>
      </w:pPr>
      <w:r w:rsidRPr="00291734">
        <w:rPr>
          <w:rFonts w:cs="Arial"/>
          <w:lang w:bidi="ar-SA"/>
        </w:rPr>
        <w:t>the addition of the substance to food is safe for human consumption</w:t>
      </w:r>
    </w:p>
    <w:p w14:paraId="6EC45C79" w14:textId="77777777" w:rsidR="00291734" w:rsidRPr="00291734" w:rsidRDefault="00291734" w:rsidP="00291734">
      <w:pPr>
        <w:widowControl/>
        <w:numPr>
          <w:ilvl w:val="0"/>
          <w:numId w:val="6"/>
        </w:numPr>
        <w:contextualSpacing/>
        <w:rPr>
          <w:rFonts w:cs="Arial"/>
          <w:lang w:bidi="ar-SA"/>
        </w:rPr>
      </w:pPr>
      <w:r w:rsidRPr="00291734">
        <w:rPr>
          <w:rFonts w:cs="Arial"/>
          <w:lang w:bidi="ar-SA"/>
        </w:rPr>
        <w:t>the amounts added are consistent with achieving the technological function</w:t>
      </w:r>
    </w:p>
    <w:p w14:paraId="7E1C83E4" w14:textId="77777777" w:rsidR="00291734" w:rsidRPr="00291734" w:rsidRDefault="00291734" w:rsidP="00291734">
      <w:pPr>
        <w:widowControl/>
        <w:numPr>
          <w:ilvl w:val="0"/>
          <w:numId w:val="6"/>
        </w:numPr>
        <w:contextualSpacing/>
        <w:rPr>
          <w:rFonts w:cs="Arial"/>
          <w:lang w:bidi="ar-SA"/>
        </w:rPr>
      </w:pPr>
      <w:r w:rsidRPr="00291734">
        <w:rPr>
          <w:rFonts w:cs="Arial"/>
          <w:lang w:bidi="ar-SA"/>
        </w:rPr>
        <w:t>the substance is added in a quantity and a form which is consistent with delivering the stated purpose</w:t>
      </w:r>
    </w:p>
    <w:p w14:paraId="26FCBE70" w14:textId="77777777" w:rsidR="00291734" w:rsidRPr="00291734" w:rsidRDefault="00291734" w:rsidP="00291734">
      <w:pPr>
        <w:widowControl/>
        <w:numPr>
          <w:ilvl w:val="0"/>
          <w:numId w:val="6"/>
        </w:numPr>
        <w:contextualSpacing/>
        <w:rPr>
          <w:rFonts w:cs="Arial"/>
          <w:lang w:bidi="ar-SA"/>
        </w:rPr>
      </w:pPr>
      <w:r w:rsidRPr="00291734">
        <w:rPr>
          <w:rFonts w:cs="Arial"/>
          <w:lang w:bidi="ar-SA"/>
        </w:rPr>
        <w:t>no nutrition, health or related claims are to be made in regard to the substance.</w:t>
      </w:r>
    </w:p>
    <w:p w14:paraId="492284DC" w14:textId="77777777" w:rsidR="00291734" w:rsidRPr="00291734" w:rsidRDefault="00291734" w:rsidP="00291734"/>
    <w:p w14:paraId="4C4FD246" w14:textId="03F016E0" w:rsidR="00291734" w:rsidRDefault="00291734" w:rsidP="00291734">
      <w:r w:rsidRPr="00291734">
        <w:t>FSANZ has determined that permitting use of the enzyme beta-fructofuranosidase derived from</w:t>
      </w:r>
      <w:r w:rsidRPr="00291734">
        <w:rPr>
          <w:rFonts w:eastAsia="Calibri"/>
          <w:i/>
          <w:iCs/>
          <w:lang w:eastAsia="en-AU"/>
        </w:rPr>
        <w:t xml:space="preserve"> </w:t>
      </w:r>
      <w:r w:rsidRPr="00291734">
        <w:rPr>
          <w:i/>
        </w:rPr>
        <w:t>A. fijiensis</w:t>
      </w:r>
      <w:r w:rsidRPr="00291734">
        <w:t xml:space="preserve"> ATCC 20611 as a processing aid </w:t>
      </w:r>
      <w:r>
        <w:t>is</w:t>
      </w:r>
      <w:r w:rsidRPr="00291734">
        <w:t xml:space="preserve"> consistent with the specific order principles for ‘Technological Function’. All other requirements of the policy guidelines </w:t>
      </w:r>
      <w:r>
        <w:t>are</w:t>
      </w:r>
      <w:r w:rsidRPr="00291734">
        <w:t xml:space="preserve"> similarly met.</w:t>
      </w:r>
    </w:p>
    <w:p w14:paraId="7772B980" w14:textId="77777777" w:rsidR="00291734" w:rsidRPr="00291734" w:rsidRDefault="00291734" w:rsidP="00291734"/>
    <w:p w14:paraId="55D2119E" w14:textId="267E1632" w:rsidR="001122EC" w:rsidRPr="00291734" w:rsidRDefault="00291734" w:rsidP="001122EC">
      <w:pPr>
        <w:pStyle w:val="Heading1"/>
      </w:pPr>
      <w:bookmarkStart w:id="122" w:name="_Toc93328376"/>
      <w:bookmarkStart w:id="123" w:name="_Toc11735643"/>
      <w:bookmarkStart w:id="124" w:name="_Toc29883130"/>
      <w:bookmarkStart w:id="125" w:name="_Toc41906817"/>
      <w:bookmarkStart w:id="126" w:name="_Toc41907564"/>
      <w:bookmarkStart w:id="127" w:name="_Toc43112360"/>
      <w:bookmarkEnd w:id="102"/>
      <w:r w:rsidRPr="00291734">
        <w:t>4</w:t>
      </w:r>
      <w:r w:rsidR="001122EC" w:rsidRPr="00291734">
        <w:tab/>
        <w:t>R</w:t>
      </w:r>
      <w:r w:rsidR="000B427A" w:rsidRPr="00291734">
        <w:t>eferences</w:t>
      </w:r>
      <w:bookmarkEnd w:id="122"/>
    </w:p>
    <w:p w14:paraId="66F3F8F3" w14:textId="77777777" w:rsidR="00291734" w:rsidRPr="00291734" w:rsidRDefault="00291734" w:rsidP="00291734">
      <w:pPr>
        <w:rPr>
          <w:sz w:val="20"/>
          <w:szCs w:val="20"/>
          <w:highlight w:val="yellow"/>
        </w:rPr>
      </w:pPr>
      <w:r w:rsidRPr="00291734">
        <w:rPr>
          <w:sz w:val="20"/>
          <w:szCs w:val="20"/>
        </w:rPr>
        <w:t xml:space="preserve">FAO/WHO (2006) </w:t>
      </w:r>
      <w:hyperlink r:id="rId18" w:history="1">
        <w:r w:rsidRPr="00291734">
          <w:rPr>
            <w:color w:val="3333FF"/>
            <w:sz w:val="20"/>
            <w:szCs w:val="20"/>
            <w:u w:val="single"/>
          </w:rPr>
          <w:t>General specifications and considerations for enzyme preparations used in food processing</w:t>
        </w:r>
      </w:hyperlink>
      <w:r w:rsidRPr="00291734">
        <w:rPr>
          <w:sz w:val="20"/>
          <w:szCs w:val="20"/>
        </w:rPr>
        <w:t>. Accessed 21 September 2021</w:t>
      </w:r>
    </w:p>
    <w:p w14:paraId="38A27FEF" w14:textId="77777777" w:rsidR="00291734" w:rsidRPr="00291734" w:rsidRDefault="00291734" w:rsidP="00291734">
      <w:pPr>
        <w:tabs>
          <w:tab w:val="left" w:pos="0"/>
        </w:tabs>
        <w:rPr>
          <w:rFonts w:cs="Arial"/>
          <w:noProof/>
          <w:sz w:val="20"/>
          <w:szCs w:val="20"/>
        </w:rPr>
      </w:pPr>
    </w:p>
    <w:p w14:paraId="4D12BEC1" w14:textId="77777777" w:rsidR="00291734" w:rsidRPr="00291734" w:rsidRDefault="00291734" w:rsidP="00291734">
      <w:pPr>
        <w:tabs>
          <w:tab w:val="left" w:pos="0"/>
        </w:tabs>
        <w:rPr>
          <w:rFonts w:cs="Arial"/>
          <w:noProof/>
          <w:sz w:val="20"/>
          <w:szCs w:val="20"/>
        </w:rPr>
      </w:pPr>
      <w:r w:rsidRPr="00291734">
        <w:rPr>
          <w:rFonts w:cs="Arial"/>
          <w:noProof/>
          <w:sz w:val="20"/>
          <w:szCs w:val="20"/>
        </w:rPr>
        <w:t xml:space="preserve">IUBMB Enzyme Nomenclature EC 3.2.1.26 </w:t>
      </w:r>
      <w:hyperlink r:id="rId19" w:history="1">
        <w:r w:rsidRPr="00291734">
          <w:rPr>
            <w:color w:val="3333FF"/>
            <w:u w:val="single"/>
          </w:rPr>
          <w:t>https://www.qmul.ac.uk/sbcs/iubmb/enzyme/EC3/2/1/26.html</w:t>
        </w:r>
      </w:hyperlink>
      <w:r w:rsidRPr="00291734">
        <w:rPr>
          <w:color w:val="FF0000"/>
        </w:rPr>
        <w:t xml:space="preserve">. </w:t>
      </w:r>
      <w:r w:rsidRPr="00291734">
        <w:rPr>
          <w:rFonts w:cs="Arial"/>
          <w:noProof/>
          <w:color w:val="FF0000"/>
          <w:sz w:val="20"/>
          <w:szCs w:val="20"/>
        </w:rPr>
        <w:t xml:space="preserve"> </w:t>
      </w:r>
      <w:r w:rsidRPr="00291734">
        <w:rPr>
          <w:rFonts w:cs="Arial"/>
          <w:noProof/>
          <w:sz w:val="20"/>
          <w:szCs w:val="20"/>
        </w:rPr>
        <w:t xml:space="preserve">Accessed 21 September 2021 </w:t>
      </w:r>
    </w:p>
    <w:p w14:paraId="632CBE2A" w14:textId="77777777" w:rsidR="00291734" w:rsidRPr="00291734" w:rsidRDefault="00291734" w:rsidP="00291734">
      <w:pPr>
        <w:tabs>
          <w:tab w:val="left" w:pos="0"/>
        </w:tabs>
        <w:rPr>
          <w:rFonts w:cs="Arial"/>
          <w:noProof/>
          <w:sz w:val="20"/>
          <w:szCs w:val="20"/>
        </w:rPr>
      </w:pPr>
    </w:p>
    <w:p w14:paraId="4688391C" w14:textId="77777777" w:rsidR="00291734" w:rsidRPr="00291734" w:rsidRDefault="00291734" w:rsidP="00291734">
      <w:pPr>
        <w:rPr>
          <w:rFonts w:eastAsia="Calibri"/>
          <w:sz w:val="20"/>
          <w:szCs w:val="20"/>
          <w:lang w:eastAsia="en-AU" w:bidi="ar-SA"/>
        </w:rPr>
      </w:pPr>
      <w:r w:rsidRPr="00291734">
        <w:rPr>
          <w:sz w:val="20"/>
          <w:szCs w:val="20"/>
        </w:rPr>
        <w:t xml:space="preserve">The United States Pharmacopeia (2020) Food Chemicals Codex 12th Edition, United States Pharmacopeial Convention, Rockville, MD. </w:t>
      </w:r>
    </w:p>
    <w:p w14:paraId="0C120C20" w14:textId="77777777" w:rsidR="0012388D" w:rsidRDefault="00D15A08" w:rsidP="006C22A7">
      <w:pPr>
        <w:spacing w:before="240"/>
        <w:rPr>
          <w:b/>
          <w:sz w:val="28"/>
          <w:szCs w:val="28"/>
        </w:rPr>
      </w:pPr>
      <w:r w:rsidRPr="006C22A7">
        <w:rPr>
          <w:b/>
          <w:sz w:val="28"/>
          <w:szCs w:val="28"/>
        </w:rPr>
        <w:t>A</w:t>
      </w:r>
      <w:bookmarkEnd w:id="123"/>
      <w:bookmarkEnd w:id="124"/>
      <w:bookmarkEnd w:id="125"/>
      <w:bookmarkEnd w:id="126"/>
      <w:bookmarkEnd w:id="127"/>
      <w:r w:rsidR="00B21055">
        <w:rPr>
          <w:b/>
          <w:sz w:val="28"/>
          <w:szCs w:val="28"/>
        </w:rPr>
        <w:t>ttachments</w:t>
      </w:r>
    </w:p>
    <w:p w14:paraId="2B67F22E" w14:textId="77777777" w:rsidR="006C22A7" w:rsidRDefault="006C22A7" w:rsidP="00755F02"/>
    <w:p w14:paraId="4DC29E49" w14:textId="1FB7792B"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291734">
        <w:t>Australia New Zealand Food Standards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339505CA" w:rsidR="00456BD5" w:rsidRPr="00456BD5" w:rsidRDefault="003C4969" w:rsidP="00456BD5">
      <w:pPr>
        <w:pStyle w:val="Heading2"/>
        <w:ind w:left="0" w:firstLine="0"/>
      </w:pPr>
      <w:r w:rsidRPr="00932F14">
        <w:br w:type="page"/>
      </w:r>
      <w:bookmarkStart w:id="128" w:name="_Toc29883131"/>
      <w:bookmarkStart w:id="129" w:name="_Toc41906818"/>
      <w:bookmarkStart w:id="130" w:name="_Toc41907565"/>
      <w:bookmarkStart w:id="131" w:name="_Toc120358596"/>
      <w:bookmarkStart w:id="132" w:name="_Toc175381458"/>
      <w:bookmarkStart w:id="133" w:name="_Toc11735644"/>
      <w:bookmarkStart w:id="134" w:name="_Toc93328377"/>
      <w:r w:rsidRPr="00932F14">
        <w:lastRenderedPageBreak/>
        <w:t xml:space="preserve">Attachment </w:t>
      </w:r>
      <w:bookmarkEnd w:id="128"/>
      <w:bookmarkEnd w:id="129"/>
      <w:bookmarkEnd w:id="130"/>
      <w:bookmarkEnd w:id="131"/>
      <w:bookmarkEnd w:id="132"/>
      <w:r w:rsidR="00456B54">
        <w:t>A</w:t>
      </w:r>
      <w:bookmarkStart w:id="135" w:name="_Toc120358597"/>
      <w:bookmarkStart w:id="136" w:name="_Toc175381459"/>
      <w:bookmarkEnd w:id="133"/>
      <w:r w:rsidR="00755F02">
        <w:t xml:space="preserve"> –</w:t>
      </w:r>
      <w:bookmarkStart w:id="137" w:name="_Toc120358598"/>
      <w:bookmarkStart w:id="138" w:name="_Toc175381460"/>
      <w:bookmarkEnd w:id="135"/>
      <w:bookmarkEnd w:id="136"/>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291734">
        <w:t>Australia New Zealand Food Standards Code</w:t>
      </w:r>
      <w:bookmarkEnd w:id="134"/>
      <w:r w:rsidR="00456BD5">
        <w:rPr>
          <w:i/>
        </w:rPr>
        <w:t xml:space="preserve"> </w:t>
      </w:r>
    </w:p>
    <w:p w14:paraId="5BBF0B97" w14:textId="55578673" w:rsidR="00291734" w:rsidRPr="00291734" w:rsidRDefault="00291734" w:rsidP="00291734">
      <w:pPr>
        <w:keepNext/>
        <w:spacing w:before="240" w:after="240"/>
        <w:outlineLvl w:val="1"/>
        <w:rPr>
          <w:noProof/>
          <w:sz w:val="20"/>
          <w:lang w:val="en-AU" w:eastAsia="en-AU"/>
        </w:rPr>
      </w:pPr>
      <w:r w:rsidRPr="00291734">
        <w:rPr>
          <w:noProof/>
          <w:sz w:val="20"/>
          <w:lang w:eastAsia="en-GB" w:bidi="ar-SA"/>
        </w:rPr>
        <w:drawing>
          <wp:inline distT="0" distB="0" distL="0" distR="0" wp14:anchorId="779CEF8A" wp14:editId="5A9E830F">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B2C99FD" w14:textId="77777777" w:rsidR="00291734" w:rsidRPr="00291734" w:rsidRDefault="00291734" w:rsidP="00291734">
      <w:pPr>
        <w:widowControl/>
        <w:pBdr>
          <w:bottom w:val="single" w:sz="4" w:space="1" w:color="auto"/>
        </w:pBdr>
        <w:jc w:val="center"/>
        <w:rPr>
          <w:rFonts w:eastAsiaTheme="minorHAnsi" w:cstheme="minorBidi"/>
          <w:sz w:val="20"/>
          <w:lang w:eastAsia="en-GB"/>
        </w:rPr>
      </w:pPr>
    </w:p>
    <w:p w14:paraId="091C5B9A" w14:textId="77777777" w:rsidR="00291734" w:rsidRPr="00291734" w:rsidRDefault="00291734" w:rsidP="00291734">
      <w:pPr>
        <w:pBdr>
          <w:bottom w:val="single" w:sz="4" w:space="1" w:color="auto"/>
        </w:pBdr>
        <w:rPr>
          <w:b/>
          <w:sz w:val="20"/>
        </w:rPr>
      </w:pPr>
      <w:r w:rsidRPr="00291734">
        <w:rPr>
          <w:rFonts w:cs="Arial"/>
          <w:b/>
          <w:sz w:val="20"/>
        </w:rPr>
        <w:t xml:space="preserve">Food Standards (Application </w:t>
      </w:r>
      <w:r w:rsidRPr="00291734">
        <w:rPr>
          <w:b/>
          <w:sz w:val="20"/>
        </w:rPr>
        <w:t>A1212 –</w:t>
      </w:r>
      <w:r w:rsidRPr="00291734">
        <w:t xml:space="preserve"> </w:t>
      </w:r>
      <w:r w:rsidRPr="00291734">
        <w:rPr>
          <w:b/>
          <w:sz w:val="20"/>
        </w:rPr>
        <w:t xml:space="preserve">Beta-fructofuranosidase enzyme from </w:t>
      </w:r>
      <w:r w:rsidRPr="00291734">
        <w:rPr>
          <w:b/>
          <w:i/>
          <w:sz w:val="20"/>
        </w:rPr>
        <w:t>Aspergillus fijiensis</w:t>
      </w:r>
      <w:r w:rsidRPr="00291734">
        <w:rPr>
          <w:rFonts w:cs="Arial"/>
          <w:b/>
          <w:sz w:val="20"/>
        </w:rPr>
        <w:t>)</w:t>
      </w:r>
      <w:r w:rsidRPr="00291734">
        <w:rPr>
          <w:b/>
          <w:sz w:val="20"/>
        </w:rPr>
        <w:t xml:space="preserve"> Variation</w:t>
      </w:r>
    </w:p>
    <w:p w14:paraId="1FF2CA82" w14:textId="77777777" w:rsidR="00291734" w:rsidRPr="00291734" w:rsidRDefault="00291734" w:rsidP="00291734">
      <w:pPr>
        <w:pBdr>
          <w:bottom w:val="single" w:sz="4" w:space="1" w:color="auto"/>
        </w:pBdr>
        <w:rPr>
          <w:b/>
          <w:color w:val="FF0000"/>
          <w:sz w:val="20"/>
        </w:rPr>
      </w:pPr>
    </w:p>
    <w:p w14:paraId="404FB378" w14:textId="77777777" w:rsidR="00291734" w:rsidRPr="00291734" w:rsidRDefault="00291734" w:rsidP="00291734">
      <w:pPr>
        <w:rPr>
          <w:color w:val="FF0000"/>
          <w:sz w:val="20"/>
        </w:rPr>
      </w:pPr>
    </w:p>
    <w:p w14:paraId="4CA4DF0E" w14:textId="77777777" w:rsidR="00291734" w:rsidRPr="00291734" w:rsidRDefault="00291734" w:rsidP="00291734">
      <w:pPr>
        <w:rPr>
          <w:sz w:val="20"/>
        </w:rPr>
      </w:pPr>
      <w:r w:rsidRPr="00291734">
        <w:rPr>
          <w:sz w:val="20"/>
        </w:rPr>
        <w:t xml:space="preserve">The Board of Food Standards Australia New Zealand gives notice of the making of this variation under section 92 of the </w:t>
      </w:r>
      <w:r w:rsidRPr="00291734">
        <w:rPr>
          <w:i/>
          <w:sz w:val="20"/>
        </w:rPr>
        <w:t>Food Standards Australia New Zealand Act 1991</w:t>
      </w:r>
      <w:r w:rsidRPr="00291734">
        <w:rPr>
          <w:sz w:val="20"/>
        </w:rPr>
        <w:t>. The variation commences on the date specified in clause 3 of the variation.</w:t>
      </w:r>
    </w:p>
    <w:p w14:paraId="6C0DFB78" w14:textId="77777777" w:rsidR="00291734" w:rsidRPr="00291734" w:rsidRDefault="00291734" w:rsidP="00291734">
      <w:pPr>
        <w:rPr>
          <w:sz w:val="20"/>
        </w:rPr>
      </w:pPr>
    </w:p>
    <w:p w14:paraId="6F750D32" w14:textId="77777777" w:rsidR="00291734" w:rsidRPr="00291734" w:rsidRDefault="00291734" w:rsidP="00291734">
      <w:pPr>
        <w:rPr>
          <w:color w:val="FF0000"/>
          <w:sz w:val="20"/>
        </w:rPr>
      </w:pPr>
      <w:r w:rsidRPr="00291734">
        <w:rPr>
          <w:sz w:val="20"/>
        </w:rPr>
        <w:t xml:space="preserve">Dated </w:t>
      </w:r>
      <w:r w:rsidRPr="00291734">
        <w:rPr>
          <w:color w:val="FF0000"/>
          <w:sz w:val="20"/>
        </w:rPr>
        <w:t>[To be completed by the delegate]</w:t>
      </w:r>
    </w:p>
    <w:p w14:paraId="788838DD" w14:textId="77777777" w:rsidR="00291734" w:rsidRPr="00291734" w:rsidRDefault="00291734" w:rsidP="00291734">
      <w:pPr>
        <w:rPr>
          <w:color w:val="FF0000"/>
          <w:sz w:val="20"/>
        </w:rPr>
      </w:pPr>
    </w:p>
    <w:p w14:paraId="1CFA6050" w14:textId="77777777" w:rsidR="00291734" w:rsidRPr="00291734" w:rsidRDefault="00291734" w:rsidP="00291734">
      <w:pPr>
        <w:rPr>
          <w:color w:val="FF0000"/>
          <w:sz w:val="20"/>
        </w:rPr>
      </w:pPr>
    </w:p>
    <w:p w14:paraId="4C4D9170" w14:textId="77777777" w:rsidR="00291734" w:rsidRPr="00291734" w:rsidRDefault="00291734" w:rsidP="00291734">
      <w:pPr>
        <w:rPr>
          <w:color w:val="FF0000"/>
          <w:sz w:val="20"/>
        </w:rPr>
      </w:pPr>
    </w:p>
    <w:p w14:paraId="56D14E40" w14:textId="77777777" w:rsidR="00291734" w:rsidRPr="00291734" w:rsidRDefault="00291734" w:rsidP="00291734">
      <w:pPr>
        <w:rPr>
          <w:color w:val="FF0000"/>
          <w:sz w:val="20"/>
        </w:rPr>
      </w:pPr>
    </w:p>
    <w:p w14:paraId="36B3E1EA" w14:textId="77777777" w:rsidR="00291734" w:rsidRPr="00291734" w:rsidRDefault="00291734" w:rsidP="00291734">
      <w:pPr>
        <w:rPr>
          <w:sz w:val="20"/>
        </w:rPr>
      </w:pPr>
    </w:p>
    <w:p w14:paraId="2DEEA0BB" w14:textId="77777777" w:rsidR="00291734" w:rsidRPr="00291734" w:rsidRDefault="00291734" w:rsidP="00291734">
      <w:pPr>
        <w:tabs>
          <w:tab w:val="left" w:pos="851"/>
        </w:tabs>
        <w:rPr>
          <w:color w:val="FF0000"/>
          <w:sz w:val="20"/>
          <w:szCs w:val="20"/>
        </w:rPr>
      </w:pPr>
      <w:r w:rsidRPr="00291734">
        <w:rPr>
          <w:color w:val="FF0000"/>
          <w:sz w:val="20"/>
          <w:szCs w:val="20"/>
        </w:rPr>
        <w:t>[Insert Delegate’s name and position]</w:t>
      </w:r>
    </w:p>
    <w:p w14:paraId="3698EDCA" w14:textId="77777777" w:rsidR="00291734" w:rsidRPr="00291734" w:rsidRDefault="00291734" w:rsidP="00291734">
      <w:pPr>
        <w:rPr>
          <w:sz w:val="20"/>
        </w:rPr>
      </w:pPr>
      <w:r w:rsidRPr="00291734">
        <w:rPr>
          <w:sz w:val="20"/>
        </w:rPr>
        <w:t>Delegate of the Board of Food Standards Australia New Zealand</w:t>
      </w:r>
    </w:p>
    <w:p w14:paraId="23E73FA4" w14:textId="77777777" w:rsidR="00291734" w:rsidRPr="00291734" w:rsidRDefault="00291734" w:rsidP="00291734">
      <w:pPr>
        <w:rPr>
          <w:color w:val="FF0000"/>
          <w:sz w:val="20"/>
        </w:rPr>
      </w:pPr>
    </w:p>
    <w:p w14:paraId="79814793" w14:textId="77777777" w:rsidR="00291734" w:rsidRPr="00291734" w:rsidRDefault="00291734" w:rsidP="00291734">
      <w:pPr>
        <w:rPr>
          <w:color w:val="FF0000"/>
          <w:sz w:val="20"/>
        </w:rPr>
      </w:pPr>
    </w:p>
    <w:p w14:paraId="6FA3B9CD" w14:textId="77777777" w:rsidR="00291734" w:rsidRPr="00291734" w:rsidRDefault="00291734" w:rsidP="00291734">
      <w:pPr>
        <w:rPr>
          <w:color w:val="FF0000"/>
          <w:sz w:val="20"/>
        </w:rPr>
      </w:pPr>
    </w:p>
    <w:p w14:paraId="771BE0C9" w14:textId="77777777" w:rsidR="00291734" w:rsidRPr="00291734" w:rsidRDefault="00291734" w:rsidP="00291734">
      <w:pPr>
        <w:rPr>
          <w:color w:val="FF0000"/>
          <w:sz w:val="20"/>
        </w:rPr>
      </w:pPr>
    </w:p>
    <w:p w14:paraId="038B6DD8" w14:textId="77777777" w:rsidR="00291734" w:rsidRPr="00291734" w:rsidRDefault="00291734" w:rsidP="00291734">
      <w:pPr>
        <w:rPr>
          <w:color w:val="FF0000"/>
          <w:sz w:val="20"/>
        </w:rPr>
      </w:pPr>
    </w:p>
    <w:p w14:paraId="17019D76" w14:textId="77777777" w:rsidR="00291734" w:rsidRPr="00291734" w:rsidRDefault="00291734" w:rsidP="00291734">
      <w:pPr>
        <w:pBdr>
          <w:top w:val="single" w:sz="6" w:space="0" w:color="auto"/>
          <w:left w:val="single" w:sz="6" w:space="0" w:color="auto"/>
          <w:bottom w:val="single" w:sz="6" w:space="0" w:color="auto"/>
          <w:right w:val="single" w:sz="6" w:space="0" w:color="auto"/>
        </w:pBdr>
        <w:rPr>
          <w:b/>
          <w:sz w:val="20"/>
          <w:lang w:val="en-AU"/>
        </w:rPr>
      </w:pPr>
      <w:r w:rsidRPr="00291734">
        <w:rPr>
          <w:b/>
          <w:sz w:val="20"/>
          <w:lang w:val="en-AU"/>
        </w:rPr>
        <w:t xml:space="preserve">Note:  </w:t>
      </w:r>
    </w:p>
    <w:p w14:paraId="34026EDE" w14:textId="77777777" w:rsidR="00291734" w:rsidRPr="00291734" w:rsidRDefault="00291734" w:rsidP="00291734">
      <w:pPr>
        <w:pBdr>
          <w:top w:val="single" w:sz="6" w:space="0" w:color="auto"/>
          <w:left w:val="single" w:sz="6" w:space="0" w:color="auto"/>
          <w:bottom w:val="single" w:sz="6" w:space="0" w:color="auto"/>
          <w:right w:val="single" w:sz="6" w:space="0" w:color="auto"/>
        </w:pBdr>
        <w:rPr>
          <w:sz w:val="20"/>
          <w:lang w:val="en-AU"/>
        </w:rPr>
      </w:pPr>
    </w:p>
    <w:p w14:paraId="5C63FA90" w14:textId="77777777" w:rsidR="00291734" w:rsidRPr="00291734" w:rsidRDefault="00291734" w:rsidP="00291734">
      <w:pPr>
        <w:pBdr>
          <w:top w:val="single" w:sz="6" w:space="0" w:color="auto"/>
          <w:left w:val="single" w:sz="6" w:space="0" w:color="auto"/>
          <w:bottom w:val="single" w:sz="6" w:space="0" w:color="auto"/>
          <w:right w:val="single" w:sz="6" w:space="0" w:color="auto"/>
        </w:pBdr>
        <w:rPr>
          <w:sz w:val="20"/>
          <w:lang w:val="en-AU"/>
        </w:rPr>
      </w:pPr>
      <w:r w:rsidRPr="00291734">
        <w:rPr>
          <w:sz w:val="20"/>
          <w:lang w:val="en-AU"/>
        </w:rPr>
        <w:t xml:space="preserve">This variation will be published in the Commonwealth of Australia Gazette No. FSC </w:t>
      </w:r>
      <w:r w:rsidRPr="00291734">
        <w:rPr>
          <w:color w:val="FF0000"/>
          <w:sz w:val="20"/>
          <w:lang w:val="en-AU"/>
        </w:rPr>
        <w:t xml:space="preserve">XX on XX Month 20XX. </w:t>
      </w:r>
      <w:r w:rsidRPr="00291734">
        <w:rPr>
          <w:sz w:val="20"/>
          <w:lang w:val="en-AU"/>
        </w:rPr>
        <w:t xml:space="preserve">This means that this date is the gazettal date for the purposes of </w:t>
      </w:r>
      <w:r w:rsidRPr="00291734">
        <w:rPr>
          <w:sz w:val="20"/>
        </w:rPr>
        <w:t>clause 3 of the variation</w:t>
      </w:r>
      <w:r w:rsidRPr="00291734">
        <w:rPr>
          <w:sz w:val="20"/>
          <w:lang w:val="en-AU"/>
        </w:rPr>
        <w:t>.</w:t>
      </w:r>
    </w:p>
    <w:p w14:paraId="02903DD5" w14:textId="77777777" w:rsidR="00291734" w:rsidRPr="00291734" w:rsidRDefault="00291734" w:rsidP="00291734">
      <w:pPr>
        <w:rPr>
          <w:color w:val="FF0000"/>
        </w:rPr>
      </w:pPr>
    </w:p>
    <w:p w14:paraId="72A0CDD9" w14:textId="77777777" w:rsidR="00291734" w:rsidRPr="00291734" w:rsidRDefault="00291734" w:rsidP="00291734">
      <w:pPr>
        <w:rPr>
          <w:color w:val="FF0000"/>
        </w:rPr>
      </w:pPr>
      <w:r w:rsidRPr="00291734">
        <w:rPr>
          <w:color w:val="FF0000"/>
        </w:rPr>
        <w:br w:type="page"/>
      </w:r>
    </w:p>
    <w:p w14:paraId="1E05E3E4" w14:textId="77777777" w:rsidR="00291734" w:rsidRPr="00291734" w:rsidRDefault="00291734" w:rsidP="00291734">
      <w:pPr>
        <w:spacing w:before="120" w:after="120"/>
        <w:ind w:left="851" w:hanging="851"/>
        <w:rPr>
          <w:b/>
          <w:sz w:val="20"/>
          <w:szCs w:val="20"/>
          <w:lang w:bidi="ar-SA"/>
        </w:rPr>
      </w:pPr>
      <w:r w:rsidRPr="00291734">
        <w:rPr>
          <w:b/>
          <w:sz w:val="20"/>
          <w:szCs w:val="20"/>
          <w:lang w:bidi="ar-SA"/>
        </w:rPr>
        <w:lastRenderedPageBreak/>
        <w:t>1</w:t>
      </w:r>
      <w:r w:rsidRPr="00291734">
        <w:rPr>
          <w:b/>
          <w:sz w:val="20"/>
          <w:szCs w:val="20"/>
          <w:lang w:bidi="ar-SA"/>
        </w:rPr>
        <w:tab/>
        <w:t>Name</w:t>
      </w:r>
    </w:p>
    <w:p w14:paraId="63045527" w14:textId="77777777" w:rsidR="00291734" w:rsidRPr="00291734" w:rsidRDefault="00291734" w:rsidP="000D3431">
      <w:pPr>
        <w:widowControl/>
        <w:tabs>
          <w:tab w:val="left" w:pos="851"/>
        </w:tabs>
        <w:spacing w:before="120" w:after="120"/>
        <w:rPr>
          <w:sz w:val="20"/>
          <w:szCs w:val="20"/>
          <w:lang w:bidi="ar-SA"/>
        </w:rPr>
      </w:pPr>
      <w:r w:rsidRPr="00291734">
        <w:rPr>
          <w:sz w:val="20"/>
          <w:szCs w:val="20"/>
          <w:lang w:bidi="ar-SA"/>
        </w:rPr>
        <w:t xml:space="preserve">This instrument is the </w:t>
      </w:r>
      <w:r w:rsidRPr="00291734">
        <w:rPr>
          <w:i/>
          <w:sz w:val="20"/>
          <w:szCs w:val="20"/>
          <w:lang w:bidi="ar-SA"/>
        </w:rPr>
        <w:t xml:space="preserve">Food Standards (Application A1212 – Beta-fructofuranosidase enzyme from </w:t>
      </w:r>
      <w:r w:rsidRPr="00291734">
        <w:rPr>
          <w:sz w:val="20"/>
          <w:szCs w:val="20"/>
          <w:lang w:bidi="ar-SA"/>
        </w:rPr>
        <w:t>Aspergillus fijiensis</w:t>
      </w:r>
      <w:r w:rsidRPr="00291734">
        <w:rPr>
          <w:i/>
          <w:sz w:val="20"/>
          <w:szCs w:val="20"/>
          <w:lang w:bidi="ar-SA"/>
        </w:rPr>
        <w:t>) Variation</w:t>
      </w:r>
      <w:r w:rsidRPr="00291734">
        <w:rPr>
          <w:sz w:val="20"/>
          <w:szCs w:val="20"/>
          <w:lang w:bidi="ar-SA"/>
        </w:rPr>
        <w:t>.</w:t>
      </w:r>
    </w:p>
    <w:p w14:paraId="3843A344" w14:textId="77777777" w:rsidR="00291734" w:rsidRPr="00291734" w:rsidRDefault="00291734" w:rsidP="00291734">
      <w:pPr>
        <w:spacing w:before="120" w:after="120"/>
        <w:ind w:left="851" w:hanging="851"/>
        <w:rPr>
          <w:b/>
          <w:sz w:val="20"/>
          <w:szCs w:val="20"/>
          <w:lang w:bidi="ar-SA"/>
        </w:rPr>
      </w:pPr>
      <w:r w:rsidRPr="00291734">
        <w:rPr>
          <w:b/>
          <w:sz w:val="20"/>
          <w:szCs w:val="20"/>
          <w:lang w:bidi="ar-SA"/>
        </w:rPr>
        <w:t>2</w:t>
      </w:r>
      <w:r w:rsidRPr="00291734">
        <w:rPr>
          <w:b/>
          <w:sz w:val="20"/>
          <w:szCs w:val="20"/>
          <w:lang w:bidi="ar-SA"/>
        </w:rPr>
        <w:tab/>
        <w:t xml:space="preserve">Variation to a Standard in the </w:t>
      </w:r>
      <w:r w:rsidRPr="00291734">
        <w:rPr>
          <w:b/>
          <w:i/>
          <w:sz w:val="20"/>
          <w:szCs w:val="20"/>
          <w:lang w:bidi="ar-SA"/>
        </w:rPr>
        <w:t>Australia New Zealand Food Standards Code</w:t>
      </w:r>
    </w:p>
    <w:p w14:paraId="15DB4956" w14:textId="77777777" w:rsidR="00291734" w:rsidRPr="00291734" w:rsidRDefault="00291734" w:rsidP="000D3431">
      <w:pPr>
        <w:widowControl/>
        <w:tabs>
          <w:tab w:val="left" w:pos="851"/>
        </w:tabs>
        <w:spacing w:before="120" w:after="120"/>
        <w:rPr>
          <w:sz w:val="20"/>
          <w:szCs w:val="20"/>
          <w:lang w:bidi="ar-SA"/>
        </w:rPr>
      </w:pPr>
      <w:r w:rsidRPr="00291734">
        <w:rPr>
          <w:sz w:val="20"/>
          <w:szCs w:val="20"/>
          <w:lang w:bidi="ar-SA"/>
        </w:rPr>
        <w:t xml:space="preserve">The Schedule varies a Standard in the </w:t>
      </w:r>
      <w:r w:rsidRPr="00291734">
        <w:rPr>
          <w:i/>
          <w:sz w:val="20"/>
          <w:szCs w:val="20"/>
          <w:lang w:bidi="ar-SA"/>
        </w:rPr>
        <w:t>Australia New Zealand Food Standards Code</w:t>
      </w:r>
      <w:r w:rsidRPr="00291734">
        <w:rPr>
          <w:sz w:val="20"/>
          <w:szCs w:val="20"/>
          <w:lang w:bidi="ar-SA"/>
        </w:rPr>
        <w:t>.</w:t>
      </w:r>
    </w:p>
    <w:p w14:paraId="189935B9" w14:textId="77777777" w:rsidR="00291734" w:rsidRPr="00291734" w:rsidRDefault="00291734" w:rsidP="00291734">
      <w:pPr>
        <w:spacing w:before="120" w:after="120"/>
        <w:ind w:left="851" w:hanging="851"/>
        <w:rPr>
          <w:b/>
          <w:sz w:val="20"/>
          <w:szCs w:val="20"/>
          <w:lang w:bidi="ar-SA"/>
        </w:rPr>
      </w:pPr>
      <w:r w:rsidRPr="00291734">
        <w:rPr>
          <w:b/>
          <w:sz w:val="20"/>
          <w:szCs w:val="20"/>
          <w:lang w:bidi="ar-SA"/>
        </w:rPr>
        <w:t>3</w:t>
      </w:r>
      <w:r w:rsidRPr="00291734">
        <w:rPr>
          <w:b/>
          <w:sz w:val="20"/>
          <w:szCs w:val="20"/>
          <w:lang w:bidi="ar-SA"/>
        </w:rPr>
        <w:tab/>
        <w:t>Commencement</w:t>
      </w:r>
    </w:p>
    <w:p w14:paraId="48AEA6A4" w14:textId="77777777" w:rsidR="00291734" w:rsidRPr="00291734" w:rsidRDefault="00291734" w:rsidP="000D3431">
      <w:pPr>
        <w:widowControl/>
        <w:tabs>
          <w:tab w:val="left" w:pos="851"/>
        </w:tabs>
        <w:spacing w:before="120" w:after="120"/>
        <w:rPr>
          <w:sz w:val="20"/>
          <w:szCs w:val="20"/>
          <w:lang w:bidi="ar-SA"/>
        </w:rPr>
      </w:pPr>
      <w:r w:rsidRPr="00291734">
        <w:rPr>
          <w:sz w:val="20"/>
          <w:szCs w:val="20"/>
          <w:lang w:bidi="ar-SA"/>
        </w:rPr>
        <w:t>The variation commences on the date of gazettal.</w:t>
      </w:r>
    </w:p>
    <w:p w14:paraId="6F3BB066" w14:textId="77777777" w:rsidR="00291734" w:rsidRPr="00291734" w:rsidRDefault="00291734" w:rsidP="00291734">
      <w:pPr>
        <w:spacing w:before="120" w:after="120"/>
        <w:ind w:left="851" w:hanging="851"/>
        <w:jc w:val="center"/>
        <w:rPr>
          <w:b/>
          <w:sz w:val="20"/>
          <w:szCs w:val="20"/>
          <w:lang w:bidi="ar-SA"/>
        </w:rPr>
      </w:pPr>
      <w:r w:rsidRPr="00291734">
        <w:rPr>
          <w:b/>
          <w:sz w:val="20"/>
          <w:szCs w:val="20"/>
          <w:lang w:bidi="ar-SA"/>
        </w:rPr>
        <w:t>Schedule</w:t>
      </w:r>
    </w:p>
    <w:p w14:paraId="5FEB3C8D" w14:textId="77777777" w:rsidR="00291734" w:rsidRPr="00291734" w:rsidRDefault="00291734" w:rsidP="00291734">
      <w:pPr>
        <w:keepNext/>
        <w:spacing w:before="240" w:after="60"/>
        <w:ind w:left="964" w:hanging="964"/>
        <w:rPr>
          <w:rFonts w:cs="Arial"/>
          <w:b/>
          <w:bCs/>
          <w:lang w:eastAsia="en-AU"/>
        </w:rPr>
      </w:pPr>
      <w:r w:rsidRPr="00291734">
        <w:rPr>
          <w:rFonts w:cs="Arial"/>
          <w:b/>
          <w:bCs/>
          <w:sz w:val="20"/>
          <w:szCs w:val="20"/>
          <w:lang w:eastAsia="en-AU"/>
        </w:rPr>
        <w:t>Schedule 18—Processing aids</w:t>
      </w:r>
    </w:p>
    <w:p w14:paraId="5E7EE508" w14:textId="77777777" w:rsidR="00291734" w:rsidRPr="00291734" w:rsidRDefault="00291734" w:rsidP="000D3431">
      <w:pPr>
        <w:widowControl/>
        <w:tabs>
          <w:tab w:val="left" w:pos="851"/>
        </w:tabs>
        <w:spacing w:before="120" w:after="120"/>
        <w:rPr>
          <w:rFonts w:cs="Arial"/>
          <w:b/>
          <w:bCs/>
          <w:sz w:val="20"/>
          <w:szCs w:val="20"/>
          <w:lang w:eastAsia="en-AU" w:bidi="ar-SA"/>
        </w:rPr>
      </w:pPr>
      <w:r w:rsidRPr="00291734">
        <w:rPr>
          <w:b/>
          <w:sz w:val="20"/>
          <w:szCs w:val="20"/>
          <w:lang w:bidi="ar-SA"/>
        </w:rPr>
        <w:t>[1]</w:t>
      </w:r>
      <w:r w:rsidRPr="00291734">
        <w:rPr>
          <w:b/>
          <w:sz w:val="20"/>
          <w:szCs w:val="20"/>
          <w:lang w:bidi="ar-SA"/>
        </w:rPr>
        <w:tab/>
      </w:r>
      <w:r w:rsidRPr="00291734">
        <w:rPr>
          <w:rFonts w:cs="Arial"/>
          <w:b/>
          <w:bCs/>
          <w:sz w:val="20"/>
          <w:szCs w:val="20"/>
          <w:lang w:eastAsia="en-AU" w:bidi="ar-SA"/>
        </w:rPr>
        <w:t>Subsection S18—4(5) (table item dealing with the enzyme β-Fructofuranosidase (EC 3.2.1.26))</w:t>
      </w:r>
    </w:p>
    <w:p w14:paraId="45254EC1" w14:textId="77777777" w:rsidR="00291734" w:rsidRPr="00291734" w:rsidRDefault="00291734" w:rsidP="000D3431">
      <w:pPr>
        <w:widowControl/>
        <w:tabs>
          <w:tab w:val="left" w:pos="851"/>
        </w:tabs>
        <w:spacing w:before="120" w:after="120"/>
        <w:rPr>
          <w:b/>
          <w:sz w:val="20"/>
          <w:szCs w:val="20"/>
          <w:lang w:bidi="ar-SA"/>
        </w:rPr>
      </w:pPr>
      <w:r w:rsidRPr="00291734">
        <w:rPr>
          <w:sz w:val="20"/>
          <w:szCs w:val="20"/>
          <w:lang w:bidi="ar-SA"/>
        </w:rPr>
        <w:tab/>
        <w:t>Repeal the item, substitute:</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291734" w:rsidRPr="00291734" w14:paraId="63ADB697" w14:textId="77777777" w:rsidTr="00D82E9B">
        <w:trPr>
          <w:cantSplit/>
        </w:trPr>
        <w:tc>
          <w:tcPr>
            <w:tcW w:w="3369" w:type="dxa"/>
            <w:tcBorders>
              <w:top w:val="nil"/>
              <w:bottom w:val="nil"/>
            </w:tcBorders>
          </w:tcPr>
          <w:p w14:paraId="434B1CB4" w14:textId="77777777" w:rsidR="00291734" w:rsidRPr="00291734" w:rsidRDefault="00291734" w:rsidP="00291734">
            <w:pPr>
              <w:keepLines/>
              <w:widowControl/>
              <w:tabs>
                <w:tab w:val="right" w:pos="3969"/>
              </w:tabs>
              <w:spacing w:before="60" w:after="60"/>
              <w:rPr>
                <w:rFonts w:cs="Arial"/>
                <w:sz w:val="18"/>
                <w:szCs w:val="20"/>
                <w:lang w:eastAsia="en-AU" w:bidi="ar-SA"/>
              </w:rPr>
            </w:pPr>
            <w:r w:rsidRPr="00291734">
              <w:rPr>
                <w:rFonts w:cs="Arial"/>
                <w:sz w:val="18"/>
                <w:szCs w:val="20"/>
                <w:lang w:eastAsia="en-AU" w:bidi="ar-SA"/>
              </w:rPr>
              <w:t>β-Fructofuranosidase (EC 3.2.1.26)</w:t>
            </w:r>
          </w:p>
        </w:tc>
        <w:tc>
          <w:tcPr>
            <w:tcW w:w="5703" w:type="dxa"/>
            <w:tcBorders>
              <w:top w:val="nil"/>
              <w:bottom w:val="nil"/>
            </w:tcBorders>
          </w:tcPr>
          <w:p w14:paraId="3398F005" w14:textId="77777777" w:rsidR="00291734" w:rsidRPr="00291734" w:rsidRDefault="00291734" w:rsidP="00291734">
            <w:pPr>
              <w:keepLines/>
              <w:widowControl/>
              <w:tabs>
                <w:tab w:val="right" w:pos="3969"/>
              </w:tabs>
              <w:spacing w:before="60" w:after="60"/>
              <w:rPr>
                <w:rFonts w:cs="Arial"/>
                <w:i/>
                <w:sz w:val="18"/>
                <w:szCs w:val="20"/>
                <w:lang w:eastAsia="en-AU" w:bidi="ar-SA"/>
              </w:rPr>
            </w:pPr>
            <w:r w:rsidRPr="00291734">
              <w:rPr>
                <w:rFonts w:cs="Arial"/>
                <w:i/>
                <w:sz w:val="18"/>
                <w:szCs w:val="20"/>
                <w:lang w:eastAsia="en-AU" w:bidi="ar-SA"/>
              </w:rPr>
              <w:t xml:space="preserve">Aspergillus fijiensis </w:t>
            </w:r>
            <w:r w:rsidRPr="00291734">
              <w:rPr>
                <w:rFonts w:cs="Arial"/>
                <w:sz w:val="18"/>
                <w:szCs w:val="20"/>
                <w:lang w:eastAsia="en-AU" w:bidi="ar-SA"/>
              </w:rPr>
              <w:t>ATCC 20611</w:t>
            </w:r>
          </w:p>
          <w:p w14:paraId="0D3CC65D" w14:textId="77777777" w:rsidR="00291734" w:rsidRPr="00291734" w:rsidRDefault="00291734" w:rsidP="00291734">
            <w:pPr>
              <w:keepLines/>
              <w:widowControl/>
              <w:tabs>
                <w:tab w:val="right" w:pos="3969"/>
              </w:tabs>
              <w:spacing w:before="60" w:after="60"/>
              <w:rPr>
                <w:rFonts w:cs="Arial"/>
                <w:i/>
                <w:sz w:val="18"/>
                <w:szCs w:val="20"/>
                <w:lang w:eastAsia="en-AU" w:bidi="ar-SA"/>
              </w:rPr>
            </w:pPr>
            <w:r w:rsidRPr="00291734">
              <w:rPr>
                <w:rFonts w:cs="Arial"/>
                <w:i/>
                <w:sz w:val="18"/>
                <w:szCs w:val="20"/>
                <w:lang w:eastAsia="en-AU" w:bidi="ar-SA"/>
              </w:rPr>
              <w:t>Aspergillus niger</w:t>
            </w:r>
          </w:p>
          <w:p w14:paraId="6F928964" w14:textId="77777777" w:rsidR="00291734" w:rsidRPr="00291734" w:rsidRDefault="00291734" w:rsidP="00291734">
            <w:pPr>
              <w:keepLines/>
              <w:widowControl/>
              <w:tabs>
                <w:tab w:val="right" w:pos="3969"/>
              </w:tabs>
              <w:spacing w:before="60" w:after="60"/>
              <w:rPr>
                <w:rFonts w:cs="Arial"/>
                <w:sz w:val="18"/>
                <w:szCs w:val="20"/>
                <w:lang w:eastAsia="en-AU" w:bidi="ar-SA"/>
              </w:rPr>
            </w:pPr>
            <w:r w:rsidRPr="00291734">
              <w:rPr>
                <w:rFonts w:cs="Arial"/>
                <w:i/>
                <w:sz w:val="18"/>
                <w:szCs w:val="20"/>
                <w:lang w:eastAsia="en-AU" w:bidi="ar-SA"/>
              </w:rPr>
              <w:t>Saccharomyces cerevisiae</w:t>
            </w:r>
          </w:p>
        </w:tc>
      </w:tr>
    </w:tbl>
    <w:p w14:paraId="1A42A30A" w14:textId="77777777" w:rsidR="00291734" w:rsidRPr="00291734" w:rsidRDefault="00291734" w:rsidP="00291734">
      <w:pPr>
        <w:rPr>
          <w:lang w:bidi="ar-SA"/>
        </w:rPr>
      </w:pPr>
    </w:p>
    <w:p w14:paraId="0975647E" w14:textId="77777777" w:rsidR="00291734" w:rsidRPr="00291734" w:rsidRDefault="00291734" w:rsidP="00291734">
      <w:pPr>
        <w:rPr>
          <w:lang w:val="en-AU" w:eastAsia="en-GB" w:bidi="ar-SA"/>
        </w:rPr>
      </w:pPr>
      <w:r w:rsidRPr="00291734">
        <w:br w:type="page"/>
      </w:r>
    </w:p>
    <w:p w14:paraId="7BEE38ED" w14:textId="084EA7C6" w:rsidR="00456BD5" w:rsidRDefault="005E06C0" w:rsidP="00456BD5">
      <w:pPr>
        <w:pStyle w:val="Heading2"/>
        <w:ind w:left="0" w:firstLine="0"/>
      </w:pPr>
      <w:bookmarkStart w:id="139" w:name="_Toc93328378"/>
      <w:r w:rsidRPr="00932F14">
        <w:lastRenderedPageBreak/>
        <w:t xml:space="preserve">Attachment </w:t>
      </w:r>
      <w:r>
        <w:t xml:space="preserve">B – </w:t>
      </w:r>
      <w:r w:rsidR="00456BD5">
        <w:t>Explanatory Statement</w:t>
      </w:r>
      <w:bookmarkEnd w:id="139"/>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71167BD3" w14:textId="77777777" w:rsidR="00D82E9B" w:rsidRPr="00D82E9B" w:rsidRDefault="00D82E9B" w:rsidP="00D82E9B">
      <w:pPr>
        <w:widowControl/>
        <w:autoSpaceDE w:val="0"/>
        <w:autoSpaceDN w:val="0"/>
        <w:adjustRightInd w:val="0"/>
        <w:rPr>
          <w:rFonts w:eastAsia="Calibri" w:cs="Arial"/>
          <w:bCs/>
          <w:szCs w:val="22"/>
          <w:lang w:val="en-AU" w:bidi="ar-SA"/>
        </w:rPr>
      </w:pPr>
      <w:r w:rsidRPr="00D82E9B">
        <w:rPr>
          <w:rFonts w:eastAsia="Calibri" w:cs="Arial"/>
          <w:bCs/>
          <w:szCs w:val="22"/>
          <w:lang w:val="en-AU" w:bidi="ar-SA"/>
        </w:rPr>
        <w:t xml:space="preserve">Section 13 of the </w:t>
      </w:r>
      <w:r w:rsidRPr="00D82E9B">
        <w:rPr>
          <w:rFonts w:eastAsia="Calibri" w:cs="Arial"/>
          <w:bCs/>
          <w:i/>
          <w:szCs w:val="22"/>
          <w:lang w:val="en-AU" w:bidi="ar-SA"/>
        </w:rPr>
        <w:t>Food Standards Australia New Zealand Act 1991</w:t>
      </w:r>
      <w:r w:rsidRPr="00D82E9B">
        <w:rPr>
          <w:rFonts w:eastAsia="Calibri" w:cs="Arial"/>
          <w:bCs/>
          <w:szCs w:val="22"/>
          <w:lang w:val="en-AU" w:bidi="ar-SA"/>
        </w:rPr>
        <w:t xml:space="preserve"> (the FSANZ Act) provides that the functions of Food Standards Australia New Zealand (the Authority) include the development of standards and variations of standards for inclusion in the Australia New Zealand Food Standards Code (the Code).</w:t>
      </w:r>
    </w:p>
    <w:p w14:paraId="06994D7C" w14:textId="77777777" w:rsidR="00D82E9B" w:rsidRPr="00D82E9B" w:rsidRDefault="00D82E9B" w:rsidP="00D82E9B">
      <w:pPr>
        <w:widowControl/>
        <w:autoSpaceDE w:val="0"/>
        <w:autoSpaceDN w:val="0"/>
        <w:adjustRightInd w:val="0"/>
        <w:rPr>
          <w:rFonts w:eastAsia="Calibri" w:cs="Arial"/>
          <w:bCs/>
          <w:szCs w:val="22"/>
          <w:lang w:val="en-AU" w:bidi="ar-SA"/>
        </w:rPr>
      </w:pPr>
    </w:p>
    <w:p w14:paraId="423E3D07" w14:textId="77777777" w:rsidR="00D82E9B" w:rsidRPr="00D82E9B" w:rsidRDefault="00D82E9B" w:rsidP="00D82E9B">
      <w:pPr>
        <w:widowControl/>
        <w:autoSpaceDE w:val="0"/>
        <w:autoSpaceDN w:val="0"/>
        <w:adjustRightInd w:val="0"/>
        <w:rPr>
          <w:rFonts w:eastAsia="Calibri" w:cs="Arial"/>
          <w:bCs/>
          <w:szCs w:val="22"/>
          <w:lang w:val="en-AU" w:bidi="ar-SA"/>
        </w:rPr>
      </w:pPr>
      <w:r w:rsidRPr="00D82E9B">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68B80B1C" w14:textId="77777777" w:rsidR="00D82E9B" w:rsidRPr="00D82E9B" w:rsidRDefault="00D82E9B" w:rsidP="00D82E9B">
      <w:pPr>
        <w:widowControl/>
        <w:autoSpaceDE w:val="0"/>
        <w:autoSpaceDN w:val="0"/>
        <w:adjustRightInd w:val="0"/>
        <w:rPr>
          <w:rFonts w:eastAsia="Calibri" w:cs="Arial"/>
          <w:bCs/>
          <w:szCs w:val="22"/>
          <w:lang w:val="en-AU" w:bidi="ar-SA"/>
        </w:rPr>
      </w:pPr>
    </w:p>
    <w:p w14:paraId="27021107" w14:textId="606539B1" w:rsidR="00456BD5" w:rsidRPr="00D13E34" w:rsidRDefault="00D82E9B" w:rsidP="00D82E9B">
      <w:pPr>
        <w:widowControl/>
        <w:autoSpaceDE w:val="0"/>
        <w:autoSpaceDN w:val="0"/>
        <w:adjustRightInd w:val="0"/>
        <w:rPr>
          <w:rFonts w:eastAsia="Calibri" w:cs="Arial"/>
          <w:bCs/>
          <w:szCs w:val="22"/>
          <w:lang w:val="en-AU" w:bidi="ar-SA"/>
        </w:rPr>
      </w:pPr>
      <w:r w:rsidRPr="00D82E9B">
        <w:rPr>
          <w:rFonts w:eastAsia="Calibri" w:cs="Arial"/>
          <w:bCs/>
          <w:szCs w:val="22"/>
          <w:lang w:val="en-AU" w:bidi="ar-SA"/>
        </w:rPr>
        <w:t xml:space="preserve">The Authority accepted application A1212 which seeks to permit </w:t>
      </w:r>
      <w:r w:rsidRPr="00D82E9B">
        <w:rPr>
          <w:i/>
          <w:iCs/>
        </w:rPr>
        <w:t>Aspergillus fijiensis</w:t>
      </w:r>
      <w:r w:rsidRPr="00D82E9B">
        <w:rPr>
          <w:lang w:val="en-AU"/>
        </w:rPr>
        <w:t xml:space="preserve"> as a </w:t>
      </w:r>
      <w:r w:rsidRPr="00D82E9B">
        <w:t xml:space="preserve">microbial source for the production of the enzyme beta-fructofuranosidase as a processing aid in any food. </w:t>
      </w:r>
      <w:r w:rsidRPr="00D82E9B">
        <w:rPr>
          <w:rFonts w:eastAsia="Calibri" w:cs="Arial"/>
          <w:bCs/>
          <w:szCs w:val="22"/>
          <w:lang w:val="en-AU" w:bidi="ar-SA"/>
        </w:rPr>
        <w:t xml:space="preserve">The Authority considered the application in accordance with Division 1 of Part 3 and has </w:t>
      </w:r>
      <w:r w:rsidR="00CB3C63">
        <w:rPr>
          <w:rFonts w:eastAsia="Calibri" w:cs="Arial"/>
          <w:bCs/>
          <w:szCs w:val="22"/>
          <w:lang w:val="en-AU" w:bidi="ar-SA"/>
        </w:rPr>
        <w:t>approved</w:t>
      </w:r>
      <w:r w:rsidR="00CB3C63" w:rsidRPr="00D82E9B">
        <w:rPr>
          <w:rFonts w:eastAsia="Calibri" w:cs="Arial"/>
          <w:bCs/>
          <w:szCs w:val="22"/>
          <w:lang w:val="en-AU" w:bidi="ar-SA"/>
        </w:rPr>
        <w:t xml:space="preserve"> </w:t>
      </w:r>
      <w:r w:rsidRPr="00D82E9B">
        <w:rPr>
          <w:rFonts w:eastAsia="Calibri" w:cs="Arial"/>
          <w:bCs/>
          <w:szCs w:val="22"/>
          <w:lang w:val="en-AU" w:bidi="ar-SA"/>
        </w:rPr>
        <w:t xml:space="preserve">a draft variation. </w:t>
      </w:r>
    </w:p>
    <w:p w14:paraId="1553F09E" w14:textId="78DD5F5C" w:rsidR="00456BD5" w:rsidRDefault="00456BD5" w:rsidP="00456BD5">
      <w:pPr>
        <w:widowControl/>
        <w:autoSpaceDE w:val="0"/>
        <w:autoSpaceDN w:val="0"/>
        <w:adjustRightInd w:val="0"/>
        <w:rPr>
          <w:rFonts w:eastAsia="Calibri" w:cs="Arial"/>
          <w:bCs/>
          <w:szCs w:val="22"/>
          <w:lang w:val="en-AU" w:bidi="ar-SA"/>
        </w:rPr>
      </w:pPr>
    </w:p>
    <w:p w14:paraId="0D3F4AB2" w14:textId="77777777" w:rsidR="00D82E9B" w:rsidRPr="00D82E9B" w:rsidRDefault="00D82E9B" w:rsidP="00D82E9B">
      <w:pPr>
        <w:widowControl/>
        <w:autoSpaceDE w:val="0"/>
        <w:autoSpaceDN w:val="0"/>
        <w:adjustRightInd w:val="0"/>
        <w:rPr>
          <w:rFonts w:eastAsia="Calibri" w:cs="Arial"/>
          <w:bCs/>
          <w:szCs w:val="22"/>
          <w:lang w:val="en-AU" w:bidi="ar-SA"/>
        </w:rPr>
      </w:pPr>
      <w:r w:rsidRPr="00D82E9B">
        <w:rPr>
          <w:rFonts w:eastAsia="Calibri" w:cs="Arial"/>
          <w:bCs/>
          <w:szCs w:val="22"/>
          <w:lang w:val="en-AU" w:bidi="ar-SA"/>
        </w:rPr>
        <w:t xml:space="preserve">Following consideration by the </w:t>
      </w:r>
      <w:r w:rsidRPr="00D82E9B">
        <w:rPr>
          <w:rFonts w:cs="Helvetica"/>
          <w:lang w:val="en-AU"/>
        </w:rPr>
        <w:t>Food Ministers’ Meeting</w:t>
      </w:r>
      <w:r w:rsidRPr="00D82E9B">
        <w:rPr>
          <w:rFonts w:cs="Helvetica"/>
          <w:vertAlign w:val="superscript"/>
          <w:lang w:val="en-AU"/>
        </w:rPr>
        <w:footnoteReference w:id="8"/>
      </w:r>
      <w:r w:rsidRPr="00D82E9B">
        <w:rPr>
          <w:rFonts w:eastAsia="Calibri" w:cs="Arial"/>
          <w:bCs/>
          <w:szCs w:val="22"/>
          <w:lang w:val="en-AU" w:bidi="ar-SA"/>
        </w:rPr>
        <w:t xml:space="preserve">, section 92 of the FSANZ Act stipulates that the Authority must publish a notice about the standard or draft variation of a standard. </w:t>
      </w:r>
    </w:p>
    <w:p w14:paraId="226F1B56" w14:textId="77777777" w:rsidR="00D82E9B" w:rsidRPr="00D13E34" w:rsidRDefault="00D82E9B"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77777777" w:rsidR="00456BD5" w:rsidRDefault="00456BD5" w:rsidP="00456BD5">
      <w:pPr>
        <w:rPr>
          <w:lang w:val="en-AU" w:eastAsia="en-GB" w:bidi="ar-SA"/>
        </w:rPr>
      </w:pPr>
    </w:p>
    <w:p w14:paraId="248F2599" w14:textId="77777777" w:rsidR="00D82E9B" w:rsidRPr="00D82E9B" w:rsidRDefault="00456BD5" w:rsidP="00D82E9B">
      <w:r>
        <w:rPr>
          <w:lang w:val="en-AU" w:eastAsia="en-GB" w:bidi="ar-SA"/>
        </w:rPr>
        <w:t xml:space="preserve">The Authority has approved </w:t>
      </w:r>
      <w:r w:rsidR="00D82E9B" w:rsidRPr="00D82E9B">
        <w:rPr>
          <w:lang w:val="en-AU" w:eastAsia="en-GB" w:bidi="ar-SA"/>
        </w:rPr>
        <w:t xml:space="preserve">a draft variation amending the table to subsection S18––4(5) of the Code to </w:t>
      </w:r>
      <w:r w:rsidR="00D82E9B" w:rsidRPr="00D82E9B">
        <w:t xml:space="preserve">permit the use of the enzyme beta-fructofuranosidase derived from the source microorganism </w:t>
      </w:r>
      <w:r w:rsidR="00D82E9B" w:rsidRPr="00D82E9B">
        <w:rPr>
          <w:i/>
        </w:rPr>
        <w:t>A. fijiensis</w:t>
      </w:r>
      <w:r w:rsidR="00D82E9B" w:rsidRPr="00D82E9B">
        <w:t xml:space="preserve"> ATCC 26011 as a processing aid for any technological purpose in any food</w:t>
      </w:r>
      <w:r w:rsidR="00D82E9B" w:rsidRPr="00D82E9B">
        <w:rPr>
          <w:lang w:val="en-AU" w:eastAsia="en-GB" w:bidi="ar-SA"/>
        </w:rPr>
        <w:t>. The reference to ‘</w:t>
      </w:r>
      <w:r w:rsidR="00D82E9B" w:rsidRPr="00D82E9B">
        <w:rPr>
          <w:i/>
        </w:rPr>
        <w:t>A. fijiensis</w:t>
      </w:r>
      <w:r w:rsidR="00D82E9B" w:rsidRPr="00D82E9B">
        <w:t xml:space="preserve"> ATCC 26011’ is a reference to the microorganism at the strain level.</w:t>
      </w:r>
    </w:p>
    <w:p w14:paraId="22A22637" w14:textId="77777777" w:rsidR="00D82E9B" w:rsidRPr="00D82E9B" w:rsidRDefault="00D82E9B" w:rsidP="00D82E9B">
      <w:pPr>
        <w:rPr>
          <w:lang w:val="en-AU" w:eastAsia="en-GB" w:bidi="ar-SA"/>
        </w:rPr>
      </w:pPr>
    </w:p>
    <w:p w14:paraId="41A0D855" w14:textId="6F69F653" w:rsidR="00D82E9B" w:rsidRPr="00D82E9B" w:rsidRDefault="00D82E9B" w:rsidP="00D82E9B">
      <w:pPr>
        <w:rPr>
          <w:lang w:val="en-AU" w:eastAsia="en-GB" w:bidi="ar-SA"/>
        </w:rPr>
      </w:pPr>
      <w:r w:rsidRPr="00D82E9B">
        <w:rPr>
          <w:lang w:val="en-AU" w:eastAsia="en-GB" w:bidi="ar-SA"/>
        </w:rPr>
        <w:t xml:space="preserve">The enzyme beta-fructofuranosidase derived from the microbial source </w:t>
      </w:r>
      <w:r w:rsidRPr="00D82E9B">
        <w:rPr>
          <w:i/>
        </w:rPr>
        <w:t xml:space="preserve">Aspergillus niger </w:t>
      </w:r>
      <w:r w:rsidRPr="00D82E9B">
        <w:t>(</w:t>
      </w:r>
      <w:r w:rsidRPr="00D82E9B">
        <w:rPr>
          <w:i/>
        </w:rPr>
        <w:t>A. niger</w:t>
      </w:r>
      <w:r w:rsidRPr="00D82E9B">
        <w:t xml:space="preserve">) </w:t>
      </w:r>
      <w:r w:rsidRPr="00D82E9B">
        <w:rPr>
          <w:lang w:val="en-AU" w:eastAsia="en-GB" w:bidi="ar-SA"/>
        </w:rPr>
        <w:t>is already permitted in the Code to be used as a processing aid in the manufacture of all food.</w:t>
      </w:r>
      <w:r w:rsidRPr="00D82E9B">
        <w:t xml:space="preserve"> Methods for identifying microorganisms are constantly evolving and in some cases microorganisms will be re-identified as different species. In this application, an organism previously approved in the Code was originally identified as the species </w:t>
      </w:r>
      <w:r w:rsidRPr="00D82E9B">
        <w:rPr>
          <w:i/>
        </w:rPr>
        <w:t xml:space="preserve">A. niger, </w:t>
      </w:r>
      <w:r w:rsidRPr="00D82E9B">
        <w:t>but more advanced methods have now identified it as the species</w:t>
      </w:r>
      <w:r w:rsidRPr="00D82E9B">
        <w:rPr>
          <w:i/>
        </w:rPr>
        <w:t xml:space="preserve"> </w:t>
      </w:r>
      <w:r w:rsidR="0047241A">
        <w:rPr>
          <w:i/>
        </w:rPr>
        <w:t>A</w:t>
      </w:r>
      <w:r w:rsidR="0047241A" w:rsidRPr="00D82E9B">
        <w:rPr>
          <w:i/>
        </w:rPr>
        <w:t>spergillus</w:t>
      </w:r>
      <w:r w:rsidR="0047241A">
        <w:rPr>
          <w:i/>
        </w:rPr>
        <w:t xml:space="preserve"> fijiensis (</w:t>
      </w:r>
      <w:r w:rsidRPr="00D82E9B">
        <w:rPr>
          <w:i/>
        </w:rPr>
        <w:t>A. fijiensis</w:t>
      </w:r>
      <w:r w:rsidR="0047241A">
        <w:rPr>
          <w:i/>
        </w:rPr>
        <w:t>)</w:t>
      </w:r>
      <w:r w:rsidRPr="00D82E9B">
        <w:rPr>
          <w:i/>
        </w:rPr>
        <w:t xml:space="preserve">. </w:t>
      </w:r>
      <w:r w:rsidRPr="00D82E9B">
        <w:rPr>
          <w:lang w:val="en-AU" w:eastAsia="en-GB" w:bidi="ar-SA"/>
        </w:rPr>
        <w:t>Listing both names in the Code would clarify that beta-fructofuranosidase derived from ‘</w:t>
      </w:r>
      <w:r w:rsidRPr="00D82E9B">
        <w:rPr>
          <w:i/>
          <w:lang w:val="en-AU" w:eastAsia="en-GB" w:bidi="ar-SA"/>
        </w:rPr>
        <w:t>A. niger</w:t>
      </w:r>
      <w:r w:rsidRPr="00D82E9B">
        <w:rPr>
          <w:lang w:val="en-AU" w:eastAsia="en-GB" w:bidi="ar-SA"/>
        </w:rPr>
        <w:t>’ or ‘</w:t>
      </w:r>
      <w:r w:rsidRPr="00D82E9B">
        <w:rPr>
          <w:i/>
          <w:lang w:val="en-AU" w:eastAsia="en-GB" w:bidi="ar-SA"/>
        </w:rPr>
        <w:t>A. fijiensis</w:t>
      </w:r>
      <w:r w:rsidRPr="00D82E9B">
        <w:rPr>
          <w:lang w:val="en-AU" w:eastAsia="en-GB" w:bidi="ar-SA"/>
        </w:rPr>
        <w:t>’, is permitted to be used as a processing aid in food in accordance with the Code.</w:t>
      </w:r>
    </w:p>
    <w:p w14:paraId="25164526" w14:textId="77777777" w:rsidR="00456BD5" w:rsidRDefault="00456BD5"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20973CBE" w:rsidR="00456BD5" w:rsidRDefault="0062321B"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w:t>
      </w:r>
      <w:r w:rsidR="00375D10">
        <w:rPr>
          <w:rFonts w:eastAsia="Calibri" w:cs="Arial"/>
          <w:bCs/>
          <w:szCs w:val="22"/>
          <w:lang w:val="en-AU" w:bidi="ar-SA"/>
        </w:rPr>
        <w:t>e approved</w:t>
      </w:r>
      <w:r>
        <w:rPr>
          <w:rFonts w:eastAsia="Calibri" w:cs="Arial"/>
          <w:bCs/>
          <w:szCs w:val="22"/>
          <w:lang w:val="en-AU" w:bidi="ar-SA"/>
        </w:rPr>
        <w:t xml:space="preserve"> draft variation does</w:t>
      </w:r>
      <w:r w:rsidRPr="00D13E34">
        <w:rPr>
          <w:rFonts w:eastAsia="Calibri" w:cs="Arial"/>
          <w:bCs/>
          <w:szCs w:val="22"/>
          <w:lang w:val="en-AU" w:bidi="ar-SA"/>
        </w:rPr>
        <w:t xml:space="preserve"> </w:t>
      </w:r>
      <w:r w:rsidR="00456BD5" w:rsidRPr="00D13E34">
        <w:rPr>
          <w:rFonts w:eastAsia="Calibri" w:cs="Arial"/>
          <w:bCs/>
          <w:szCs w:val="22"/>
          <w:lang w:val="en-AU" w:bidi="ar-SA"/>
        </w:rPr>
        <w:t>not incorporate any documents by reference.</w:t>
      </w:r>
    </w:p>
    <w:p w14:paraId="07CA008D" w14:textId="22F198D0" w:rsidR="00D82E9B" w:rsidRDefault="00D82E9B" w:rsidP="00456BD5">
      <w:pPr>
        <w:widowControl/>
        <w:autoSpaceDE w:val="0"/>
        <w:autoSpaceDN w:val="0"/>
        <w:adjustRightInd w:val="0"/>
        <w:rPr>
          <w:rFonts w:eastAsia="Calibri" w:cs="Arial"/>
          <w:bCs/>
          <w:szCs w:val="22"/>
          <w:lang w:val="en-AU" w:bidi="ar-SA"/>
        </w:rPr>
      </w:pPr>
    </w:p>
    <w:p w14:paraId="15C5B729" w14:textId="7B86775C" w:rsidR="00D82E9B" w:rsidRPr="00D82E9B" w:rsidRDefault="00D82E9B" w:rsidP="00D82E9B">
      <w:r w:rsidRPr="00D82E9B">
        <w:rPr>
          <w:rFonts w:eastAsia="Calibri" w:cs="Arial"/>
          <w:bCs/>
          <w:szCs w:val="22"/>
          <w:lang w:val="en-AU" w:bidi="ar-SA"/>
        </w:rPr>
        <w:t xml:space="preserve">However, existing provisions of the Code incorporate a document by reference that will prescribe identity and purity specifications for the processing aid to be permitted by the </w:t>
      </w:r>
      <w:r w:rsidR="00450EB7">
        <w:rPr>
          <w:rFonts w:eastAsia="Calibri" w:cs="Arial"/>
          <w:bCs/>
          <w:szCs w:val="22"/>
          <w:lang w:val="en-AU" w:bidi="ar-SA"/>
        </w:rPr>
        <w:t xml:space="preserve">approved </w:t>
      </w:r>
      <w:r w:rsidRPr="00D82E9B">
        <w:rPr>
          <w:rFonts w:eastAsia="Calibri" w:cs="Arial"/>
          <w:bCs/>
          <w:szCs w:val="22"/>
          <w:lang w:val="en-AU" w:bidi="ar-SA"/>
        </w:rPr>
        <w:t xml:space="preserve">draft variation. </w:t>
      </w:r>
      <w:r w:rsidRPr="00D82E9B">
        <w:t xml:space="preserve">Section 1.1.1—15 of the Code requires substances used as processing aids to comply with any relevant identity and purity specifications listed in </w:t>
      </w:r>
      <w:r w:rsidRPr="00D82E9B">
        <w:lastRenderedPageBreak/>
        <w:t xml:space="preserve">Schedule 3 of the Code. Section S3—2 of Schedule 3 incorporates by reference the specifications </w:t>
      </w:r>
      <w:r w:rsidRPr="00D82E9B">
        <w:rPr>
          <w:rFonts w:eastAsia="Calibri" w:cs="Arial"/>
          <w:bCs/>
          <w:szCs w:val="22"/>
          <w:lang w:val="en-AU" w:bidi="ar-SA"/>
        </w:rPr>
        <w:t xml:space="preserve">listed in </w:t>
      </w:r>
      <w:r w:rsidRPr="00D82E9B">
        <w:t xml:space="preserve">the Joint FAO/WHO Expert Committee on Food Additives (JECFA) </w:t>
      </w:r>
      <w:r w:rsidRPr="00D82E9B">
        <w:rPr>
          <w:color w:val="000000" w:themeColor="text1"/>
        </w:rPr>
        <w:t xml:space="preserve">Compendium of Food Additive Specifications (FAO/WHO 2019) and the </w:t>
      </w:r>
      <w:r w:rsidRPr="00D82E9B">
        <w:t>United States Pharmacopeial Convention (2020) Food Chemicals Codex (12</w:t>
      </w:r>
      <w:r w:rsidRPr="00D82E9B">
        <w:rPr>
          <w:vertAlign w:val="superscript"/>
        </w:rPr>
        <w:t>th</w:t>
      </w:r>
      <w:r w:rsidRPr="00D82E9B">
        <w:t xml:space="preserve"> edition). These include specifications for enzyme preparations used in food processing.</w:t>
      </w:r>
    </w:p>
    <w:p w14:paraId="6DA3F12E" w14:textId="77777777" w:rsidR="00456BD5" w:rsidRDefault="00456BD5"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0FEEB3D2" w14:textId="1F2CD639" w:rsidR="00477C02" w:rsidRPr="00477C02" w:rsidRDefault="00477C02" w:rsidP="00477C02">
      <w:pPr>
        <w:rPr>
          <w:lang w:val="en-AU"/>
        </w:rPr>
      </w:pPr>
      <w:r w:rsidRPr="00477C02">
        <w:rPr>
          <w:szCs w:val="22"/>
        </w:rPr>
        <w:t xml:space="preserve">In accordance with the procedure in Division 1 of Part 3 of the FSANZ Act, </w:t>
      </w:r>
      <w:r w:rsidRPr="00477C02">
        <w:rPr>
          <w:rFonts w:eastAsia="Calibri" w:cs="Arial"/>
          <w:bCs/>
          <w:szCs w:val="22"/>
          <w:lang w:val="en-AU" w:bidi="ar-SA"/>
        </w:rPr>
        <w:t>the Authority</w:t>
      </w:r>
      <w:r w:rsidRPr="00477C02">
        <w:rPr>
          <w:szCs w:val="22"/>
        </w:rPr>
        <w:t>’s consideration of application A1212 include</w:t>
      </w:r>
      <w:r>
        <w:rPr>
          <w:szCs w:val="22"/>
        </w:rPr>
        <w:t>d</w:t>
      </w:r>
      <w:r w:rsidRPr="00477C02">
        <w:rPr>
          <w:szCs w:val="22"/>
        </w:rPr>
        <w:t xml:space="preserve"> one round of public consultation following an assessment and the preparation of a draft variation and associated assessment summary. </w:t>
      </w:r>
      <w:r>
        <w:rPr>
          <w:szCs w:val="22"/>
        </w:rPr>
        <w:t>Submissions were called for on 4 November 2021</w:t>
      </w:r>
      <w:r w:rsidRPr="00477C02">
        <w:rPr>
          <w:szCs w:val="22"/>
        </w:rPr>
        <w:t xml:space="preserve"> for a six-week consultation period.</w:t>
      </w:r>
    </w:p>
    <w:p w14:paraId="53753EE7" w14:textId="77777777" w:rsidR="00477C02" w:rsidRPr="00477C02" w:rsidRDefault="00477C02" w:rsidP="00477C02"/>
    <w:p w14:paraId="53FB05EC" w14:textId="77777777" w:rsidR="00477C02" w:rsidRPr="00477C02" w:rsidRDefault="00477C02" w:rsidP="00477C02">
      <w:pPr>
        <w:rPr>
          <w:bCs/>
        </w:rPr>
      </w:pPr>
      <w:r w:rsidRPr="00477C02">
        <w:rPr>
          <w:bCs/>
        </w:rPr>
        <w:t xml:space="preserve">The Office of Best Practice Regulation (OBPR) granted the Authority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477C02">
        <w:rPr>
          <w:szCs w:val="22"/>
        </w:rPr>
        <w:t>is likely to have only a minor impact on business and individuals</w:t>
      </w:r>
      <w:r w:rsidRPr="00477C02">
        <w:rPr>
          <w:bCs/>
        </w:rPr>
        <w:t>. It is a minor, deregulatory change that allows for the introduction of a food product to the food supply that has been determined to be safe. The use of the approved processing aid is also voluntary.</w:t>
      </w:r>
    </w:p>
    <w:p w14:paraId="3711262A" w14:textId="77777777" w:rsidR="00456BD5" w:rsidRDefault="00456BD5" w:rsidP="00456BD5">
      <w:pPr>
        <w:rPr>
          <w:color w:val="FF0000"/>
          <w:lang w:val="en-AU" w:eastAsia="en-GB" w:bidi="ar-SA"/>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03B36AA7" w14:textId="77777777" w:rsidR="00456BD5" w:rsidRPr="003C6D89" w:rsidRDefault="00456BD5" w:rsidP="00456BD5"/>
    <w:p w14:paraId="4C83F364" w14:textId="5640AD94" w:rsidR="003C6D89" w:rsidRPr="003C6D89" w:rsidRDefault="003C6D89" w:rsidP="003C6D89">
      <w:r w:rsidRPr="003C6D89">
        <w:t xml:space="preserve">Item [1] of the Schedule to the </w:t>
      </w:r>
      <w:r w:rsidR="009B3EA9">
        <w:t xml:space="preserve">approved draft </w:t>
      </w:r>
      <w:r w:rsidRPr="003C6D89">
        <w:t>variation repeals the existing entry for the enzyme ‘</w:t>
      </w:r>
      <w:r w:rsidRPr="003C6D89">
        <w:rPr>
          <w:rFonts w:cs="Arial"/>
          <w:bCs/>
          <w:lang w:eastAsia="en-AU"/>
        </w:rPr>
        <w:t>β-Fructofuranosidase (EC 3.2.1.26)</w:t>
      </w:r>
      <w:r w:rsidRPr="003C6D89">
        <w:rPr>
          <w:rFonts w:cs="Arial"/>
          <w:b/>
          <w:bCs/>
          <w:lang w:eastAsia="en-AU"/>
        </w:rPr>
        <w:t xml:space="preserve">’ </w:t>
      </w:r>
      <w:r w:rsidRPr="003C6D89">
        <w:t>in the table to subsection S18—4(5) in Schedule 18 of the Code; and replaces it with a new entry for that enzyme.</w:t>
      </w:r>
    </w:p>
    <w:p w14:paraId="7D1D276E" w14:textId="77777777" w:rsidR="003C6D89" w:rsidRPr="003C6D89" w:rsidRDefault="003C6D89" w:rsidP="003C6D89"/>
    <w:p w14:paraId="627E9A93" w14:textId="77777777" w:rsidR="003C6D89" w:rsidRPr="003C6D89" w:rsidRDefault="003C6D89" w:rsidP="003C6D89">
      <w:r w:rsidRPr="003C6D89">
        <w:t xml:space="preserve">The new entry includes a reference to </w:t>
      </w:r>
      <w:r w:rsidRPr="003C6D89">
        <w:rPr>
          <w:lang w:val="en-AU" w:eastAsia="en-GB" w:bidi="ar-SA"/>
        </w:rPr>
        <w:t>‘</w:t>
      </w:r>
      <w:r w:rsidRPr="003C6D89">
        <w:rPr>
          <w:i/>
          <w:lang w:eastAsia="en-GB"/>
        </w:rPr>
        <w:t xml:space="preserve">Aspergillus fijiensis </w:t>
      </w:r>
      <w:r w:rsidRPr="003C6D89">
        <w:rPr>
          <w:lang w:eastAsia="en-GB"/>
        </w:rPr>
        <w:t xml:space="preserve">ATCC 20611’ as a source for </w:t>
      </w:r>
      <w:r w:rsidRPr="003C6D89">
        <w:t>‘</w:t>
      </w:r>
      <w:r w:rsidRPr="003C6D89">
        <w:rPr>
          <w:rFonts w:cs="Arial"/>
          <w:bCs/>
          <w:lang w:eastAsia="en-AU"/>
        </w:rPr>
        <w:t>β-Fructofuranosidase (EC 3.2.1.26)</w:t>
      </w:r>
      <w:r w:rsidRPr="003C6D89">
        <w:rPr>
          <w:rFonts w:cs="Arial"/>
          <w:b/>
          <w:bCs/>
          <w:lang w:eastAsia="en-AU"/>
        </w:rPr>
        <w:t>’</w:t>
      </w:r>
      <w:r w:rsidRPr="003C6D89">
        <w:t xml:space="preserve">. </w:t>
      </w:r>
    </w:p>
    <w:p w14:paraId="2DFCDDBC" w14:textId="77777777" w:rsidR="003C6D89" w:rsidRPr="003C6D89" w:rsidRDefault="003C6D89" w:rsidP="003C6D89"/>
    <w:p w14:paraId="58D33117" w14:textId="103C67EF" w:rsidR="003C6D89" w:rsidRPr="003C6D89" w:rsidRDefault="00822CE5" w:rsidP="003C6D89">
      <w:pPr>
        <w:rPr>
          <w:rFonts w:eastAsia="Calibri" w:cs="Arial"/>
          <w:bCs/>
          <w:szCs w:val="22"/>
          <w:lang w:val="en-AU" w:bidi="ar-SA"/>
        </w:rPr>
      </w:pPr>
      <w:r>
        <w:t>T</w:t>
      </w:r>
      <w:r w:rsidR="003C6D89" w:rsidRPr="003C6D89">
        <w:t xml:space="preserve">he effect of the amendment </w:t>
      </w:r>
      <w:r w:rsidR="009B3EA9" w:rsidRPr="003C6D89">
        <w:t>w</w:t>
      </w:r>
      <w:r w:rsidR="009B3EA9">
        <w:t>ill</w:t>
      </w:r>
      <w:r w:rsidR="009B3EA9" w:rsidRPr="003C6D89">
        <w:t xml:space="preserve"> </w:t>
      </w:r>
      <w:r w:rsidR="003C6D89" w:rsidRPr="003C6D89">
        <w:t xml:space="preserve">be to permit the use of the enzyme, beta-fructofuranosidase (EC 3.2.1.26), derived from </w:t>
      </w:r>
      <w:r w:rsidR="003C6D89" w:rsidRPr="003C6D89">
        <w:rPr>
          <w:i/>
          <w:color w:val="000000" w:themeColor="text1"/>
          <w:szCs w:val="22"/>
        </w:rPr>
        <w:t xml:space="preserve">A. fijiensis </w:t>
      </w:r>
      <w:r w:rsidR="003C6D89" w:rsidRPr="003C6D89">
        <w:rPr>
          <w:lang w:val="en-AU"/>
        </w:rPr>
        <w:t>ATCC 20611 as a processing aid to perform any technological purpose in the manufacture of any food – in accordance with the Code.</w:t>
      </w:r>
      <w:r w:rsidR="003C6D89" w:rsidRPr="003C6D89">
        <w:t xml:space="preserve"> </w:t>
      </w:r>
    </w:p>
    <w:p w14:paraId="224E2342" w14:textId="77777777" w:rsidR="00456BD5" w:rsidRDefault="00456BD5" w:rsidP="00456BD5">
      <w:pPr>
        <w:rPr>
          <w:lang w:val="en-AU" w:eastAsia="en-GB" w:bidi="ar-SA"/>
        </w:rPr>
      </w:pPr>
    </w:p>
    <w:p w14:paraId="25AC9598" w14:textId="77777777" w:rsidR="0012388D" w:rsidRDefault="0012388D" w:rsidP="00795D86">
      <w:bookmarkStart w:id="140" w:name="_Toc11735637"/>
      <w:bookmarkStart w:id="141" w:name="_Toc29883122"/>
      <w:bookmarkStart w:id="142" w:name="_Toc41906809"/>
      <w:bookmarkStart w:id="143" w:name="_Toc41907556"/>
      <w:bookmarkStart w:id="144" w:name="_Toc120358587"/>
      <w:bookmarkStart w:id="145" w:name="_Toc175381446"/>
      <w:bookmarkStart w:id="146" w:name="_Toc175381454"/>
      <w:bookmarkEnd w:id="137"/>
      <w:bookmarkEnd w:id="138"/>
    </w:p>
    <w:bookmarkEnd w:id="140"/>
    <w:bookmarkEnd w:id="141"/>
    <w:bookmarkEnd w:id="142"/>
    <w:bookmarkEnd w:id="143"/>
    <w:bookmarkEnd w:id="144"/>
    <w:bookmarkEnd w:id="145"/>
    <w:bookmarkEnd w:id="146"/>
    <w:p w14:paraId="68F3B0D2" w14:textId="58E2F58A" w:rsidR="00BD49FF" w:rsidRPr="00EC66BB" w:rsidRDefault="00BD49FF">
      <w:pPr>
        <w:widowControl/>
      </w:pPr>
    </w:p>
    <w:sectPr w:rsidR="00BD49FF" w:rsidRPr="00EC66BB"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677B" w14:textId="77777777" w:rsidR="00D463D4" w:rsidRDefault="00D463D4">
      <w:r>
        <w:separator/>
      </w:r>
    </w:p>
    <w:p w14:paraId="0C05904F" w14:textId="77777777" w:rsidR="00D463D4" w:rsidRDefault="00D463D4"/>
  </w:endnote>
  <w:endnote w:type="continuationSeparator" w:id="0">
    <w:p w14:paraId="158C1D78" w14:textId="77777777" w:rsidR="00D463D4" w:rsidRDefault="00D463D4">
      <w:r>
        <w:continuationSeparator/>
      </w:r>
    </w:p>
    <w:p w14:paraId="3B534A34" w14:textId="77777777" w:rsidR="00D463D4" w:rsidRDefault="00D46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2903FF42" w:rsidR="00D463D4" w:rsidRDefault="00D463D4" w:rsidP="006A16EA">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D463D4" w:rsidRDefault="00D463D4" w:rsidP="00B06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027749"/>
      <w:docPartObj>
        <w:docPartGallery w:val="Page Numbers (Bottom of Page)"/>
        <w:docPartUnique/>
      </w:docPartObj>
    </w:sdtPr>
    <w:sdtEndPr/>
    <w:sdtContent>
      <w:sdt>
        <w:sdtPr>
          <w:id w:val="-1705238520"/>
          <w:docPartObj>
            <w:docPartGallery w:val="Page Numbers (Top of Page)"/>
            <w:docPartUnique/>
          </w:docPartObj>
        </w:sdtPr>
        <w:sdtEndPr/>
        <w:sdtContent>
          <w:p w14:paraId="445BBF44" w14:textId="52B088B2" w:rsidR="006A16EA" w:rsidRDefault="006A16EA" w:rsidP="006A16EA">
            <w:pPr>
              <w:pStyle w:val="Footer"/>
              <w:framePr w:wrap="around" w:vAnchor="text" w:hAnchor="margin" w:xAlign="center" w:y="1"/>
              <w:jc w:val="right"/>
              <w:rPr>
                <w:rStyle w:val="PageNumber"/>
              </w:rPr>
            </w:pPr>
            <w:r>
              <w:t xml:space="preserve">Page </w:t>
            </w:r>
            <w:r>
              <w:rPr>
                <w:b/>
                <w:bCs/>
                <w:sz w:val="24"/>
              </w:rPr>
              <w:fldChar w:fldCharType="begin"/>
            </w:r>
            <w:r>
              <w:rPr>
                <w:b/>
                <w:bCs/>
              </w:rPr>
              <w:instrText xml:space="preserve"> PAGE </w:instrText>
            </w:r>
            <w:r>
              <w:rPr>
                <w:b/>
                <w:bCs/>
                <w:sz w:val="24"/>
              </w:rPr>
              <w:fldChar w:fldCharType="separate"/>
            </w:r>
            <w:r w:rsidR="00837FE2">
              <w:rPr>
                <w:b/>
                <w:bCs/>
                <w:noProof/>
              </w:rPr>
              <w:t>i</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37FE2">
              <w:rPr>
                <w:b/>
                <w:bCs/>
                <w:noProof/>
              </w:rPr>
              <w:t>17</w:t>
            </w:r>
            <w:r>
              <w:rPr>
                <w:b/>
                <w:bCs/>
                <w:sz w:val="24"/>
              </w:rPr>
              <w:fldChar w:fldCharType="end"/>
            </w:r>
          </w:p>
        </w:sdtContent>
      </w:sdt>
    </w:sdtContent>
  </w:sdt>
  <w:p w14:paraId="45E2CC46" w14:textId="3DBFB8AC" w:rsidR="00D463D4" w:rsidRDefault="00D463D4" w:rsidP="00B06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D3562" w14:textId="77777777" w:rsidR="00D463D4" w:rsidRDefault="00D463D4">
      <w:r>
        <w:separator/>
      </w:r>
    </w:p>
  </w:footnote>
  <w:footnote w:type="continuationSeparator" w:id="0">
    <w:p w14:paraId="3A82AD96" w14:textId="77777777" w:rsidR="00D463D4" w:rsidRDefault="00D463D4">
      <w:r>
        <w:continuationSeparator/>
      </w:r>
    </w:p>
  </w:footnote>
  <w:footnote w:type="continuationNotice" w:id="1">
    <w:p w14:paraId="32CB26C7" w14:textId="77777777" w:rsidR="00D463D4" w:rsidRDefault="00D463D4"/>
  </w:footnote>
  <w:footnote w:id="2">
    <w:p w14:paraId="6A2452DB" w14:textId="77777777" w:rsidR="00D463D4" w:rsidRPr="00747848" w:rsidRDefault="00D463D4" w:rsidP="004224F1">
      <w:pPr>
        <w:pStyle w:val="FootnoteText"/>
        <w:rPr>
          <w:lang w:val="en-AU"/>
        </w:rPr>
      </w:pPr>
      <w:r>
        <w:rPr>
          <w:rStyle w:val="FootnoteReference"/>
        </w:rPr>
        <w:footnoteRef/>
      </w:r>
      <w:r>
        <w:t xml:space="preserve"> </w:t>
      </w:r>
      <w:hyperlink r:id="rId1" w:history="1">
        <w:r w:rsidRPr="00C668DC">
          <w:rPr>
            <w:rStyle w:val="Hyperlink"/>
          </w:rPr>
          <w:t>https://www.foodstandards.gov.au/code/applications/Pages/a1212.aspx</w:t>
        </w:r>
      </w:hyperlink>
      <w:r>
        <w:t xml:space="preserve"> </w:t>
      </w:r>
    </w:p>
  </w:footnote>
  <w:footnote w:id="3">
    <w:p w14:paraId="486A2F22" w14:textId="77777777" w:rsidR="00D463D4" w:rsidRPr="00D7071E" w:rsidRDefault="00D463D4" w:rsidP="003D0D5A">
      <w:pPr>
        <w:pStyle w:val="FootnoteText"/>
        <w:rPr>
          <w:lang w:val="en-AU"/>
        </w:rPr>
      </w:pPr>
      <w:r>
        <w:rPr>
          <w:rStyle w:val="FootnoteReference"/>
        </w:rPr>
        <w:footnoteRef/>
      </w:r>
      <w:r>
        <w:t xml:space="preserve"> </w:t>
      </w:r>
      <w:hyperlink r:id="rId2" w:history="1">
        <w:r w:rsidRPr="00115209">
          <w:rPr>
            <w:rStyle w:val="Hyperlink"/>
          </w:rPr>
          <w:t>https://www.foodstandards.gov.au/code/applications/Pages/applicationa1055shor4991.aspx</w:t>
        </w:r>
      </w:hyperlink>
      <w:r>
        <w:t xml:space="preserve"> </w:t>
      </w:r>
    </w:p>
  </w:footnote>
  <w:footnote w:id="4">
    <w:p w14:paraId="4393F043" w14:textId="77777777" w:rsidR="00D463D4" w:rsidRPr="00003BE5" w:rsidRDefault="00D463D4" w:rsidP="00A9735E">
      <w:pPr>
        <w:pStyle w:val="FootnoteText"/>
        <w:rPr>
          <w:lang w:val="en-AU"/>
        </w:rPr>
      </w:pPr>
      <w:r>
        <w:rPr>
          <w:rStyle w:val="FootnoteReference"/>
        </w:rPr>
        <w:footnoteRef/>
      </w:r>
      <w:r>
        <w:t xml:space="preserve"> </w:t>
      </w:r>
      <w:hyperlink r:id="rId3" w:history="1">
        <w:r w:rsidRPr="00E44042">
          <w:rPr>
            <w:rStyle w:val="Hyperlink"/>
            <w:sz w:val="18"/>
            <w:szCs w:val="22"/>
          </w:rPr>
          <w:t>https://www.qmul.ac.uk/sbcs/iubmb/enzyme/EC3/2/1/26.html</w:t>
        </w:r>
      </w:hyperlink>
      <w:r w:rsidRPr="00E44042">
        <w:rPr>
          <w:color w:val="FF0000"/>
          <w:sz w:val="18"/>
          <w:szCs w:val="22"/>
        </w:rPr>
        <w:t>.</w:t>
      </w:r>
    </w:p>
  </w:footnote>
  <w:footnote w:id="5">
    <w:p w14:paraId="1D752484" w14:textId="3CCAC3D8" w:rsidR="00D463D4" w:rsidRDefault="00D463D4" w:rsidP="00A9735E">
      <w:pPr>
        <w:rPr>
          <w:rFonts w:cs="Arial"/>
          <w:color w:val="44546A"/>
          <w:szCs w:val="22"/>
          <w:lang w:val="en-AU" w:bidi="ar-SA"/>
        </w:rPr>
      </w:pPr>
      <w:r>
        <w:rPr>
          <w:rStyle w:val="FootnoteReference"/>
        </w:rPr>
        <w:footnoteRef/>
      </w:r>
      <w:r>
        <w:t xml:space="preserve"> </w:t>
      </w:r>
      <w:r>
        <w:rPr>
          <w:sz w:val="18"/>
          <w:szCs w:val="18"/>
        </w:rPr>
        <w:t xml:space="preserve">On 25 February 2021 the Code was amended to introduce new requirements for the labelling of allergens in food </w:t>
      </w:r>
      <w:hyperlink r:id="rId4" w:history="1">
        <w:r w:rsidRPr="00E44042">
          <w:rPr>
            <w:rStyle w:val="Hyperlink"/>
            <w:sz w:val="18"/>
            <w:szCs w:val="18"/>
          </w:rPr>
          <w:t>(P1044 – Plain English Allergen Labelling)</w:t>
        </w:r>
      </w:hyperlink>
      <w:r>
        <w:rPr>
          <w:sz w:val="18"/>
          <w:szCs w:val="18"/>
        </w:rPr>
        <w:t xml:space="preserve">, </w:t>
      </w:r>
      <w:r w:rsidRPr="005D4682">
        <w:rPr>
          <w:sz w:val="18"/>
          <w:szCs w:val="18"/>
        </w:rPr>
        <w:t xml:space="preserve">including requirements for how to declare soy when it is present in a food for sale. </w:t>
      </w:r>
      <w:r w:rsidRPr="006E12DA">
        <w:rPr>
          <w:sz w:val="18"/>
          <w:szCs w:val="18"/>
        </w:rPr>
        <w:t xml:space="preserve">However, transitional arrangements provide businesses with time to comply with the new mandatory declaration requirements in the Code. There are two transitional periods. For further detail about these transitional arrangements, see the Explanatory Statement for the </w:t>
      </w:r>
      <w:r w:rsidRPr="006E12DA">
        <w:rPr>
          <w:iCs/>
          <w:sz w:val="18"/>
          <w:szCs w:val="18"/>
        </w:rPr>
        <w:t xml:space="preserve">P1044 </w:t>
      </w:r>
      <w:r w:rsidRPr="006E12DA">
        <w:rPr>
          <w:i/>
          <w:iCs/>
          <w:sz w:val="18"/>
          <w:szCs w:val="18"/>
        </w:rPr>
        <w:t>–</w:t>
      </w:r>
      <w:r w:rsidRPr="006E12DA">
        <w:rPr>
          <w:iCs/>
          <w:sz w:val="18"/>
          <w:szCs w:val="18"/>
        </w:rPr>
        <w:t>Variation</w:t>
      </w:r>
      <w:r>
        <w:rPr>
          <w:iCs/>
          <w:sz w:val="18"/>
          <w:szCs w:val="18"/>
        </w:rPr>
        <w:t>.</w:t>
      </w:r>
    </w:p>
    <w:p w14:paraId="32069E31" w14:textId="77777777" w:rsidR="00D463D4" w:rsidRPr="005D4682" w:rsidRDefault="00D463D4" w:rsidP="00A9735E">
      <w:pPr>
        <w:pStyle w:val="FootnoteText"/>
        <w:rPr>
          <w:lang w:val="en-AU"/>
        </w:rPr>
      </w:pPr>
    </w:p>
  </w:footnote>
  <w:footnote w:id="6">
    <w:p w14:paraId="779AE9FC" w14:textId="77777777" w:rsidR="00D463D4" w:rsidRPr="00E32E94" w:rsidRDefault="00D463D4" w:rsidP="00291734">
      <w:pPr>
        <w:pStyle w:val="FootnoteText"/>
        <w:rPr>
          <w:lang w:val="en-AU"/>
        </w:rPr>
      </w:pPr>
      <w:r>
        <w:rPr>
          <w:rStyle w:val="FootnoteReference"/>
        </w:rPr>
        <w:footnoteRef/>
      </w:r>
      <w:r>
        <w:t xml:space="preserve"> </w:t>
      </w:r>
      <w:r>
        <w:rPr>
          <w:lang w:val="en-AU"/>
        </w:rPr>
        <w:t>Formerly the Australia and New Zealand Ministerial Forum on Food Regulation</w:t>
      </w:r>
      <w:r w:rsidRPr="003F4C48">
        <w:rPr>
          <w:lang w:val="en-AU"/>
        </w:rPr>
        <w:t>.</w:t>
      </w:r>
    </w:p>
  </w:footnote>
  <w:footnote w:id="7">
    <w:p w14:paraId="2D42A5EA" w14:textId="77777777" w:rsidR="00D463D4" w:rsidRPr="001352F3" w:rsidRDefault="00D463D4" w:rsidP="00291734">
      <w:pPr>
        <w:pStyle w:val="FootnoteText"/>
        <w:rPr>
          <w:lang w:val="en-AU"/>
        </w:rPr>
      </w:pPr>
      <w:r>
        <w:rPr>
          <w:rStyle w:val="FootnoteReference"/>
          <w:sz w:val="18"/>
          <w:szCs w:val="18"/>
        </w:rPr>
        <w:footnoteRef/>
      </w:r>
      <w:r>
        <w:rPr>
          <w:sz w:val="18"/>
          <w:szCs w:val="18"/>
        </w:rPr>
        <w:t xml:space="preserve"> </w:t>
      </w:r>
      <w:hyperlink r:id="rId5" w:history="1">
        <w:r w:rsidRPr="001352F3">
          <w:rPr>
            <w:color w:val="3333FF"/>
            <w:u w:val="single"/>
          </w:rPr>
          <w:t>https://foodregulation.gov.au/internet/fr/publishing.nsf/Content/publication-Policy-Guideline-on-the-Addition-of-Substances-other-than-Vitamins-and-Minerals</w:t>
        </w:r>
      </w:hyperlink>
      <w:r w:rsidRPr="001352F3">
        <w:t xml:space="preserve"> </w:t>
      </w:r>
    </w:p>
  </w:footnote>
  <w:footnote w:id="8">
    <w:p w14:paraId="5021582B" w14:textId="77777777" w:rsidR="00D463D4" w:rsidRPr="005570E8" w:rsidRDefault="00D463D4" w:rsidP="00D82E9B">
      <w:pPr>
        <w:pStyle w:val="FootnoteText"/>
        <w:rPr>
          <w:lang w:val="en-AU"/>
        </w:rPr>
      </w:pPr>
      <w:r>
        <w:rPr>
          <w:rStyle w:val="FootnoteReference"/>
        </w:rPr>
        <w:footnoteRef/>
      </w:r>
      <w:r>
        <w:t xml:space="preserve"> </w:t>
      </w:r>
      <w:r>
        <w:rPr>
          <w:lang w:val="en-AU"/>
        </w:rPr>
        <w:t>Formerly the Australia and New Zealand Ministerial Forum on Food Regulation</w:t>
      </w:r>
      <w:r w:rsidRPr="003F4C48">
        <w:rPr>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6239715E" w:rsidR="00D463D4" w:rsidRDefault="00D463D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8A112BB"/>
    <w:multiLevelType w:val="hybridMultilevel"/>
    <w:tmpl w:val="EDBE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2B622A0"/>
    <w:multiLevelType w:val="hybridMultilevel"/>
    <w:tmpl w:val="3846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E6B38"/>
    <w:multiLevelType w:val="hybridMultilevel"/>
    <w:tmpl w:val="49A6F84C"/>
    <w:lvl w:ilvl="0" w:tplc="8C6691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7346F"/>
    <w:multiLevelType w:val="hybridMultilevel"/>
    <w:tmpl w:val="6D7C9D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7"/>
  </w:num>
  <w:num w:numId="6">
    <w:abstractNumId w:val="6"/>
  </w:num>
  <w:num w:numId="7">
    <w:abstractNumId w:val="4"/>
  </w:num>
  <w:num w:numId="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469B"/>
    <w:rsid w:val="00010E79"/>
    <w:rsid w:val="00011187"/>
    <w:rsid w:val="00014E34"/>
    <w:rsid w:val="000332AE"/>
    <w:rsid w:val="00035FF3"/>
    <w:rsid w:val="00037598"/>
    <w:rsid w:val="000418F0"/>
    <w:rsid w:val="00051021"/>
    <w:rsid w:val="000524F0"/>
    <w:rsid w:val="00052D54"/>
    <w:rsid w:val="000576EB"/>
    <w:rsid w:val="00061C69"/>
    <w:rsid w:val="00064B2D"/>
    <w:rsid w:val="00065F1F"/>
    <w:rsid w:val="00076D33"/>
    <w:rsid w:val="00076D3B"/>
    <w:rsid w:val="00077859"/>
    <w:rsid w:val="00077AEA"/>
    <w:rsid w:val="00081B0A"/>
    <w:rsid w:val="000A0E8D"/>
    <w:rsid w:val="000A3D8B"/>
    <w:rsid w:val="000A6FFF"/>
    <w:rsid w:val="000B427A"/>
    <w:rsid w:val="000B6AF2"/>
    <w:rsid w:val="000D02A2"/>
    <w:rsid w:val="000D1C46"/>
    <w:rsid w:val="000D3431"/>
    <w:rsid w:val="000D6FD4"/>
    <w:rsid w:val="000D7B1C"/>
    <w:rsid w:val="000E0AE4"/>
    <w:rsid w:val="000E1EA4"/>
    <w:rsid w:val="000E3DBC"/>
    <w:rsid w:val="000E662F"/>
    <w:rsid w:val="000F3CFE"/>
    <w:rsid w:val="000F6568"/>
    <w:rsid w:val="000F76B0"/>
    <w:rsid w:val="00102819"/>
    <w:rsid w:val="00104544"/>
    <w:rsid w:val="00104F89"/>
    <w:rsid w:val="0010778D"/>
    <w:rsid w:val="001122EC"/>
    <w:rsid w:val="0012388D"/>
    <w:rsid w:val="00136B57"/>
    <w:rsid w:val="00145E23"/>
    <w:rsid w:val="00146DB2"/>
    <w:rsid w:val="00150B54"/>
    <w:rsid w:val="0015187A"/>
    <w:rsid w:val="00152A52"/>
    <w:rsid w:val="00153B0A"/>
    <w:rsid w:val="00171F83"/>
    <w:rsid w:val="00182C4C"/>
    <w:rsid w:val="001878C5"/>
    <w:rsid w:val="0019399D"/>
    <w:rsid w:val="00197D8D"/>
    <w:rsid w:val="001A1A75"/>
    <w:rsid w:val="001A7E9A"/>
    <w:rsid w:val="001B78CF"/>
    <w:rsid w:val="001C27A3"/>
    <w:rsid w:val="001D43F6"/>
    <w:rsid w:val="001E09FA"/>
    <w:rsid w:val="001F7F63"/>
    <w:rsid w:val="00202A6F"/>
    <w:rsid w:val="0022197C"/>
    <w:rsid w:val="00221D07"/>
    <w:rsid w:val="00224E3B"/>
    <w:rsid w:val="00227E4A"/>
    <w:rsid w:val="002421C1"/>
    <w:rsid w:val="00250197"/>
    <w:rsid w:val="0026387E"/>
    <w:rsid w:val="002657AE"/>
    <w:rsid w:val="002758A0"/>
    <w:rsid w:val="00291734"/>
    <w:rsid w:val="0029204E"/>
    <w:rsid w:val="00292B9B"/>
    <w:rsid w:val="002A0194"/>
    <w:rsid w:val="002A5F8B"/>
    <w:rsid w:val="002A7F6C"/>
    <w:rsid w:val="002B0071"/>
    <w:rsid w:val="002C1A3B"/>
    <w:rsid w:val="002E16D5"/>
    <w:rsid w:val="002E1820"/>
    <w:rsid w:val="002E2DB9"/>
    <w:rsid w:val="002F35EA"/>
    <w:rsid w:val="002F5E5B"/>
    <w:rsid w:val="002F6488"/>
    <w:rsid w:val="00305C54"/>
    <w:rsid w:val="0031016C"/>
    <w:rsid w:val="0031426B"/>
    <w:rsid w:val="00316660"/>
    <w:rsid w:val="003213F9"/>
    <w:rsid w:val="00323AB6"/>
    <w:rsid w:val="00323DBF"/>
    <w:rsid w:val="00327867"/>
    <w:rsid w:val="00332B12"/>
    <w:rsid w:val="00336F4A"/>
    <w:rsid w:val="00337CAA"/>
    <w:rsid w:val="00337CBC"/>
    <w:rsid w:val="00341409"/>
    <w:rsid w:val="003428FC"/>
    <w:rsid w:val="00346622"/>
    <w:rsid w:val="003507DB"/>
    <w:rsid w:val="00351B07"/>
    <w:rsid w:val="003530E3"/>
    <w:rsid w:val="0036533D"/>
    <w:rsid w:val="00371B29"/>
    <w:rsid w:val="003727A2"/>
    <w:rsid w:val="00375D10"/>
    <w:rsid w:val="003766F8"/>
    <w:rsid w:val="00380106"/>
    <w:rsid w:val="0038063D"/>
    <w:rsid w:val="003814F0"/>
    <w:rsid w:val="00381E07"/>
    <w:rsid w:val="00385788"/>
    <w:rsid w:val="00391769"/>
    <w:rsid w:val="003953E1"/>
    <w:rsid w:val="003956B3"/>
    <w:rsid w:val="003A0A4D"/>
    <w:rsid w:val="003A3D30"/>
    <w:rsid w:val="003A68BE"/>
    <w:rsid w:val="003A7B84"/>
    <w:rsid w:val="003B48C7"/>
    <w:rsid w:val="003C4969"/>
    <w:rsid w:val="003C6D89"/>
    <w:rsid w:val="003D0D5A"/>
    <w:rsid w:val="003D2CDC"/>
    <w:rsid w:val="003E2D5F"/>
    <w:rsid w:val="003E41D5"/>
    <w:rsid w:val="003E46BA"/>
    <w:rsid w:val="003F74C1"/>
    <w:rsid w:val="00401ADE"/>
    <w:rsid w:val="00405B1A"/>
    <w:rsid w:val="00407ED4"/>
    <w:rsid w:val="00410C76"/>
    <w:rsid w:val="00411907"/>
    <w:rsid w:val="0041281D"/>
    <w:rsid w:val="00417EE3"/>
    <w:rsid w:val="004207EB"/>
    <w:rsid w:val="00421730"/>
    <w:rsid w:val="004224F1"/>
    <w:rsid w:val="00422EC9"/>
    <w:rsid w:val="00423AC7"/>
    <w:rsid w:val="00432A42"/>
    <w:rsid w:val="00435E16"/>
    <w:rsid w:val="00437276"/>
    <w:rsid w:val="0044774A"/>
    <w:rsid w:val="00450EB7"/>
    <w:rsid w:val="00453646"/>
    <w:rsid w:val="00456B54"/>
    <w:rsid w:val="00456BD5"/>
    <w:rsid w:val="00464643"/>
    <w:rsid w:val="0047241A"/>
    <w:rsid w:val="00477C02"/>
    <w:rsid w:val="00486793"/>
    <w:rsid w:val="00486C66"/>
    <w:rsid w:val="00494A3F"/>
    <w:rsid w:val="004A2037"/>
    <w:rsid w:val="004A793C"/>
    <w:rsid w:val="004B047B"/>
    <w:rsid w:val="004B4CDC"/>
    <w:rsid w:val="004C0309"/>
    <w:rsid w:val="004D121E"/>
    <w:rsid w:val="004D1B1C"/>
    <w:rsid w:val="004E05DD"/>
    <w:rsid w:val="004E1383"/>
    <w:rsid w:val="004F4F98"/>
    <w:rsid w:val="004F69F6"/>
    <w:rsid w:val="004F79AC"/>
    <w:rsid w:val="0050665B"/>
    <w:rsid w:val="00506E9B"/>
    <w:rsid w:val="005207D8"/>
    <w:rsid w:val="00523930"/>
    <w:rsid w:val="005244F1"/>
    <w:rsid w:val="00537CDC"/>
    <w:rsid w:val="0054066E"/>
    <w:rsid w:val="005517A5"/>
    <w:rsid w:val="00560185"/>
    <w:rsid w:val="00562917"/>
    <w:rsid w:val="00571B33"/>
    <w:rsid w:val="00571B8C"/>
    <w:rsid w:val="00580DDF"/>
    <w:rsid w:val="005811B7"/>
    <w:rsid w:val="00583B75"/>
    <w:rsid w:val="00586228"/>
    <w:rsid w:val="005946D3"/>
    <w:rsid w:val="00597631"/>
    <w:rsid w:val="005A572E"/>
    <w:rsid w:val="005B084E"/>
    <w:rsid w:val="005B6AF4"/>
    <w:rsid w:val="005C04CB"/>
    <w:rsid w:val="005D16AD"/>
    <w:rsid w:val="005D2016"/>
    <w:rsid w:val="005D2A32"/>
    <w:rsid w:val="005D72E1"/>
    <w:rsid w:val="005E06C0"/>
    <w:rsid w:val="005E58D3"/>
    <w:rsid w:val="005E6E16"/>
    <w:rsid w:val="005F400E"/>
    <w:rsid w:val="005F7342"/>
    <w:rsid w:val="00610A3C"/>
    <w:rsid w:val="006138D7"/>
    <w:rsid w:val="00615E83"/>
    <w:rsid w:val="00616017"/>
    <w:rsid w:val="006170CD"/>
    <w:rsid w:val="0062321B"/>
    <w:rsid w:val="00627F48"/>
    <w:rsid w:val="00630BC7"/>
    <w:rsid w:val="0063455F"/>
    <w:rsid w:val="00635814"/>
    <w:rsid w:val="00635CB6"/>
    <w:rsid w:val="0065111F"/>
    <w:rsid w:val="00652799"/>
    <w:rsid w:val="00663FCF"/>
    <w:rsid w:val="006652A2"/>
    <w:rsid w:val="00670163"/>
    <w:rsid w:val="00671DF3"/>
    <w:rsid w:val="00683071"/>
    <w:rsid w:val="00692490"/>
    <w:rsid w:val="006932A4"/>
    <w:rsid w:val="006969CC"/>
    <w:rsid w:val="00696A15"/>
    <w:rsid w:val="006A16EA"/>
    <w:rsid w:val="006A48A7"/>
    <w:rsid w:val="006A5D40"/>
    <w:rsid w:val="006C116D"/>
    <w:rsid w:val="006C22A7"/>
    <w:rsid w:val="006C5CF5"/>
    <w:rsid w:val="006D33FF"/>
    <w:rsid w:val="006D5589"/>
    <w:rsid w:val="006E10A1"/>
    <w:rsid w:val="006E12DA"/>
    <w:rsid w:val="006F4A82"/>
    <w:rsid w:val="006F5C7C"/>
    <w:rsid w:val="006F7945"/>
    <w:rsid w:val="00710C37"/>
    <w:rsid w:val="0072285B"/>
    <w:rsid w:val="00724FA4"/>
    <w:rsid w:val="00730800"/>
    <w:rsid w:val="00747CE9"/>
    <w:rsid w:val="00752A3E"/>
    <w:rsid w:val="00755F02"/>
    <w:rsid w:val="007602AA"/>
    <w:rsid w:val="00761004"/>
    <w:rsid w:val="007652EF"/>
    <w:rsid w:val="00765DE1"/>
    <w:rsid w:val="00772BDC"/>
    <w:rsid w:val="00777437"/>
    <w:rsid w:val="007776B4"/>
    <w:rsid w:val="00780792"/>
    <w:rsid w:val="0078309E"/>
    <w:rsid w:val="00786FB6"/>
    <w:rsid w:val="00795D86"/>
    <w:rsid w:val="007A44B4"/>
    <w:rsid w:val="007A53BF"/>
    <w:rsid w:val="007A7D3D"/>
    <w:rsid w:val="007B225D"/>
    <w:rsid w:val="007B37B3"/>
    <w:rsid w:val="007C1C64"/>
    <w:rsid w:val="007C22CB"/>
    <w:rsid w:val="007D0189"/>
    <w:rsid w:val="007D2BB0"/>
    <w:rsid w:val="007E17CA"/>
    <w:rsid w:val="007E48BC"/>
    <w:rsid w:val="007E75FA"/>
    <w:rsid w:val="007E79F7"/>
    <w:rsid w:val="007F3630"/>
    <w:rsid w:val="007F3AE7"/>
    <w:rsid w:val="007F7BF7"/>
    <w:rsid w:val="00807559"/>
    <w:rsid w:val="00813464"/>
    <w:rsid w:val="00822CE5"/>
    <w:rsid w:val="00831154"/>
    <w:rsid w:val="00837FE2"/>
    <w:rsid w:val="008450BC"/>
    <w:rsid w:val="00847066"/>
    <w:rsid w:val="00850B09"/>
    <w:rsid w:val="00852BC2"/>
    <w:rsid w:val="0085334B"/>
    <w:rsid w:val="008537BA"/>
    <w:rsid w:val="00856712"/>
    <w:rsid w:val="00860808"/>
    <w:rsid w:val="00861C13"/>
    <w:rsid w:val="00862349"/>
    <w:rsid w:val="0086571E"/>
    <w:rsid w:val="00865FF4"/>
    <w:rsid w:val="00870214"/>
    <w:rsid w:val="00871116"/>
    <w:rsid w:val="00882BFB"/>
    <w:rsid w:val="00885C51"/>
    <w:rsid w:val="00895273"/>
    <w:rsid w:val="00896B85"/>
    <w:rsid w:val="008A243D"/>
    <w:rsid w:val="008B11E0"/>
    <w:rsid w:val="008C4E76"/>
    <w:rsid w:val="008C6A4C"/>
    <w:rsid w:val="008D06C6"/>
    <w:rsid w:val="008D5E9D"/>
    <w:rsid w:val="008E6250"/>
    <w:rsid w:val="00917C6F"/>
    <w:rsid w:val="00920249"/>
    <w:rsid w:val="009270F6"/>
    <w:rsid w:val="00932F14"/>
    <w:rsid w:val="0094247F"/>
    <w:rsid w:val="00942D60"/>
    <w:rsid w:val="0094358A"/>
    <w:rsid w:val="009460FA"/>
    <w:rsid w:val="00947534"/>
    <w:rsid w:val="009478A1"/>
    <w:rsid w:val="00951290"/>
    <w:rsid w:val="0096523B"/>
    <w:rsid w:val="00972D06"/>
    <w:rsid w:val="00987469"/>
    <w:rsid w:val="0099323D"/>
    <w:rsid w:val="0099623A"/>
    <w:rsid w:val="009A2699"/>
    <w:rsid w:val="009A2DC9"/>
    <w:rsid w:val="009A391C"/>
    <w:rsid w:val="009B3141"/>
    <w:rsid w:val="009B3EA9"/>
    <w:rsid w:val="009B5155"/>
    <w:rsid w:val="009E0A61"/>
    <w:rsid w:val="009E3010"/>
    <w:rsid w:val="009E46F5"/>
    <w:rsid w:val="009F7065"/>
    <w:rsid w:val="00A2449C"/>
    <w:rsid w:val="00A318EB"/>
    <w:rsid w:val="00A37156"/>
    <w:rsid w:val="00A551B9"/>
    <w:rsid w:val="00A56DC7"/>
    <w:rsid w:val="00A66FDD"/>
    <w:rsid w:val="00A671E6"/>
    <w:rsid w:val="00A709E5"/>
    <w:rsid w:val="00A74FD1"/>
    <w:rsid w:val="00A84A58"/>
    <w:rsid w:val="00A929A9"/>
    <w:rsid w:val="00A96594"/>
    <w:rsid w:val="00A9735E"/>
    <w:rsid w:val="00AA41BA"/>
    <w:rsid w:val="00AA6D0D"/>
    <w:rsid w:val="00AA6FA3"/>
    <w:rsid w:val="00AC428E"/>
    <w:rsid w:val="00AC737E"/>
    <w:rsid w:val="00AD344F"/>
    <w:rsid w:val="00AE3AA5"/>
    <w:rsid w:val="00AE4FFD"/>
    <w:rsid w:val="00AF24FA"/>
    <w:rsid w:val="00AF387F"/>
    <w:rsid w:val="00AF397D"/>
    <w:rsid w:val="00B00E7F"/>
    <w:rsid w:val="00B063D8"/>
    <w:rsid w:val="00B10CF6"/>
    <w:rsid w:val="00B1431F"/>
    <w:rsid w:val="00B17112"/>
    <w:rsid w:val="00B21055"/>
    <w:rsid w:val="00B21DCC"/>
    <w:rsid w:val="00B25F37"/>
    <w:rsid w:val="00B37158"/>
    <w:rsid w:val="00B425AA"/>
    <w:rsid w:val="00B44422"/>
    <w:rsid w:val="00B46E09"/>
    <w:rsid w:val="00B46EA0"/>
    <w:rsid w:val="00B55714"/>
    <w:rsid w:val="00B63BBA"/>
    <w:rsid w:val="00B731D3"/>
    <w:rsid w:val="00B742B7"/>
    <w:rsid w:val="00B75B57"/>
    <w:rsid w:val="00B77C18"/>
    <w:rsid w:val="00B811B3"/>
    <w:rsid w:val="00B839A3"/>
    <w:rsid w:val="00B902BD"/>
    <w:rsid w:val="00B92501"/>
    <w:rsid w:val="00BA1009"/>
    <w:rsid w:val="00BB0EC9"/>
    <w:rsid w:val="00BD2A39"/>
    <w:rsid w:val="00BD2E80"/>
    <w:rsid w:val="00BD49FF"/>
    <w:rsid w:val="00BD4B64"/>
    <w:rsid w:val="00BD77E1"/>
    <w:rsid w:val="00BE11B8"/>
    <w:rsid w:val="00BF45A3"/>
    <w:rsid w:val="00BF7FF0"/>
    <w:rsid w:val="00C11AC8"/>
    <w:rsid w:val="00C11AEA"/>
    <w:rsid w:val="00C12502"/>
    <w:rsid w:val="00C26B3B"/>
    <w:rsid w:val="00C30170"/>
    <w:rsid w:val="00C40AA5"/>
    <w:rsid w:val="00C46F70"/>
    <w:rsid w:val="00C476D0"/>
    <w:rsid w:val="00C6434A"/>
    <w:rsid w:val="00C64555"/>
    <w:rsid w:val="00C74398"/>
    <w:rsid w:val="00C7474A"/>
    <w:rsid w:val="00C830B9"/>
    <w:rsid w:val="00C836E3"/>
    <w:rsid w:val="00C836FF"/>
    <w:rsid w:val="00C854DC"/>
    <w:rsid w:val="00C86577"/>
    <w:rsid w:val="00C91C02"/>
    <w:rsid w:val="00C92E07"/>
    <w:rsid w:val="00C96868"/>
    <w:rsid w:val="00C97A20"/>
    <w:rsid w:val="00CA0416"/>
    <w:rsid w:val="00CA5734"/>
    <w:rsid w:val="00CB115C"/>
    <w:rsid w:val="00CB1FAF"/>
    <w:rsid w:val="00CB3C63"/>
    <w:rsid w:val="00CB777D"/>
    <w:rsid w:val="00CC3764"/>
    <w:rsid w:val="00CC3A35"/>
    <w:rsid w:val="00CC5468"/>
    <w:rsid w:val="00CC560B"/>
    <w:rsid w:val="00CC75E2"/>
    <w:rsid w:val="00CD46EB"/>
    <w:rsid w:val="00CD7EBF"/>
    <w:rsid w:val="00CE30A1"/>
    <w:rsid w:val="00CE59AA"/>
    <w:rsid w:val="00CF0E86"/>
    <w:rsid w:val="00D00DFA"/>
    <w:rsid w:val="00D056F1"/>
    <w:rsid w:val="00D06616"/>
    <w:rsid w:val="00D144D7"/>
    <w:rsid w:val="00D15A08"/>
    <w:rsid w:val="00D23DB6"/>
    <w:rsid w:val="00D35CE9"/>
    <w:rsid w:val="00D463D4"/>
    <w:rsid w:val="00D51A95"/>
    <w:rsid w:val="00D60568"/>
    <w:rsid w:val="00D639E0"/>
    <w:rsid w:val="00D70C7A"/>
    <w:rsid w:val="00D72A29"/>
    <w:rsid w:val="00D82E9B"/>
    <w:rsid w:val="00D834E5"/>
    <w:rsid w:val="00D96C9C"/>
    <w:rsid w:val="00DA10A8"/>
    <w:rsid w:val="00DA5884"/>
    <w:rsid w:val="00DB123A"/>
    <w:rsid w:val="00DB1E08"/>
    <w:rsid w:val="00DB2973"/>
    <w:rsid w:val="00DB72B7"/>
    <w:rsid w:val="00DC0FBA"/>
    <w:rsid w:val="00DC1B56"/>
    <w:rsid w:val="00DC20CC"/>
    <w:rsid w:val="00DC2129"/>
    <w:rsid w:val="00DC6570"/>
    <w:rsid w:val="00DD265C"/>
    <w:rsid w:val="00DD3703"/>
    <w:rsid w:val="00DE0D92"/>
    <w:rsid w:val="00DE5528"/>
    <w:rsid w:val="00DF25C3"/>
    <w:rsid w:val="00DF5CFF"/>
    <w:rsid w:val="00DF72BB"/>
    <w:rsid w:val="00E01581"/>
    <w:rsid w:val="00E04062"/>
    <w:rsid w:val="00E063C6"/>
    <w:rsid w:val="00E2003B"/>
    <w:rsid w:val="00E26887"/>
    <w:rsid w:val="00E279D8"/>
    <w:rsid w:val="00E30092"/>
    <w:rsid w:val="00E319B1"/>
    <w:rsid w:val="00E327A6"/>
    <w:rsid w:val="00E3684F"/>
    <w:rsid w:val="00E44042"/>
    <w:rsid w:val="00E47D3B"/>
    <w:rsid w:val="00E5492F"/>
    <w:rsid w:val="00E572B1"/>
    <w:rsid w:val="00E57C24"/>
    <w:rsid w:val="00E6369A"/>
    <w:rsid w:val="00E70A86"/>
    <w:rsid w:val="00E73E50"/>
    <w:rsid w:val="00E777EC"/>
    <w:rsid w:val="00E80FCD"/>
    <w:rsid w:val="00E92E6F"/>
    <w:rsid w:val="00EA2226"/>
    <w:rsid w:val="00EA7DB0"/>
    <w:rsid w:val="00EA7F2F"/>
    <w:rsid w:val="00EB1F85"/>
    <w:rsid w:val="00EB576F"/>
    <w:rsid w:val="00EB6590"/>
    <w:rsid w:val="00EC00DE"/>
    <w:rsid w:val="00EC0603"/>
    <w:rsid w:val="00EC21DF"/>
    <w:rsid w:val="00EC30E1"/>
    <w:rsid w:val="00EC3436"/>
    <w:rsid w:val="00EC3B70"/>
    <w:rsid w:val="00EC66BB"/>
    <w:rsid w:val="00EC695A"/>
    <w:rsid w:val="00ED172A"/>
    <w:rsid w:val="00ED7ED4"/>
    <w:rsid w:val="00EE01DC"/>
    <w:rsid w:val="00F14AB3"/>
    <w:rsid w:val="00F14BEC"/>
    <w:rsid w:val="00F224B7"/>
    <w:rsid w:val="00F225C5"/>
    <w:rsid w:val="00F2587A"/>
    <w:rsid w:val="00F33470"/>
    <w:rsid w:val="00F34E02"/>
    <w:rsid w:val="00F3715D"/>
    <w:rsid w:val="00F37A10"/>
    <w:rsid w:val="00F420C8"/>
    <w:rsid w:val="00F42A4C"/>
    <w:rsid w:val="00F42A66"/>
    <w:rsid w:val="00F51516"/>
    <w:rsid w:val="00F526BD"/>
    <w:rsid w:val="00F53911"/>
    <w:rsid w:val="00F634A1"/>
    <w:rsid w:val="00F74BD4"/>
    <w:rsid w:val="00F76197"/>
    <w:rsid w:val="00FB3757"/>
    <w:rsid w:val="00FB7512"/>
    <w:rsid w:val="00FD2002"/>
    <w:rsid w:val="00FD7547"/>
    <w:rsid w:val="00FE0EA9"/>
    <w:rsid w:val="00FE287B"/>
    <w:rsid w:val="00FE6B5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E0DCF0E"/>
  <w15:docId w15:val="{39CE2F02-615B-4018-B82A-FB498602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customStyle="1" w:styleId="FooterPPHFF-21022022-95839AM">
    <w:name w:val="FooterPPHFF-21022022-95839 AM"/>
    <w:rsid w:val="006A16EA"/>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09852262">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ao.org/docrep/009/a0691e/A0691E03.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www.qmul.ac.uk/sbcs/iubmb/enzyme/EC3/2/1/26.html" TargetMode="External"/><Relationship Id="rId22"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www.qmul.ac.uk/sbcs/iubmb/enzyme/EC3/2/1/26.html" TargetMode="External"/><Relationship Id="rId2" Type="http://schemas.openxmlformats.org/officeDocument/2006/relationships/hyperlink" Target="https://www.foodstandards.gov.au/code/applications/Pages/applicationa1055shor4991.aspx" TargetMode="External"/><Relationship Id="rId1" Type="http://schemas.openxmlformats.org/officeDocument/2006/relationships/hyperlink" Target="https://www.foodstandards.gov.au/code/applications/Pages/a1212.aspx" TargetMode="External"/><Relationship Id="rId5" Type="http://schemas.openxmlformats.org/officeDocument/2006/relationships/hyperlink" Target="https://foodregulation.gov.au/internet/fr/publishing.nsf/Content/publication-Policy-Guideline-on-the-Addition-of-Substances-other-than-Vitamins-and-Minerals" TargetMode="External"/><Relationship Id="rId4" Type="http://schemas.openxmlformats.org/officeDocument/2006/relationships/hyperlink" Target="https://www.foodstandards.gov.au/code/proposals/Pages/P1044PlainEnglishAllergenLabell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D6E5E-4F60-4118-92AA-C3B8BE25F91D}"/>
</file>

<file path=customXml/itemProps2.xml><?xml version="1.0" encoding="utf-8"?>
<ds:datastoreItem xmlns:ds="http://schemas.openxmlformats.org/officeDocument/2006/customXml" ds:itemID="{F903755E-40C3-480B-853C-C230D14B5EDB}"/>
</file>

<file path=customXml/itemProps3.xml><?xml version="1.0" encoding="utf-8"?>
<ds:datastoreItem xmlns:ds="http://schemas.openxmlformats.org/officeDocument/2006/customXml" ds:itemID="{B4C779C4-F7D8-4BD8-9A2D-290E5DD73900}"/>
</file>

<file path=customXml/itemProps4.xml><?xml version="1.0" encoding="utf-8"?>
<ds:datastoreItem xmlns:ds="http://schemas.openxmlformats.org/officeDocument/2006/customXml" ds:itemID="{E4CD4ED7-A08E-45C6-838B-580CDA561E61}">
  <ds:schemaRefs>
    <ds:schemaRef ds:uri="Microsoft.SharePoint.Taxonomy.ContentTypeSync"/>
  </ds:schemaRefs>
</ds:datastoreItem>
</file>

<file path=customXml/itemProps5.xml><?xml version="1.0" encoding="utf-8"?>
<ds:datastoreItem xmlns:ds="http://schemas.openxmlformats.org/officeDocument/2006/customXml" ds:itemID="{DDC47B95-B455-4FFC-9203-5C896E408CFC}">
  <ds:schemaRefs>
    <ds:schemaRef ds:uri="http://schemas.microsoft.com/sharepoint/events"/>
  </ds:schemaRefs>
</ds:datastoreItem>
</file>

<file path=customXml/itemProps6.xml><?xml version="1.0" encoding="utf-8"?>
<ds:datastoreItem xmlns:ds="http://schemas.openxmlformats.org/officeDocument/2006/customXml" ds:itemID="{B16FE590-17C4-4E56-A8C7-8C8700F2D4B0}"/>
</file>

<file path=customXml/itemProps7.xml><?xml version="1.0" encoding="utf-8"?>
<ds:datastoreItem xmlns:ds="http://schemas.openxmlformats.org/officeDocument/2006/customXml" ds:itemID="{788E100A-1E43-4AD3-9BA9-06F3F519734D}"/>
</file>

<file path=docProps/app.xml><?xml version="1.0" encoding="utf-8"?>
<Properties xmlns="http://schemas.openxmlformats.org/officeDocument/2006/extended-properties" xmlns:vt="http://schemas.openxmlformats.org/officeDocument/2006/docPropsVTypes">
  <Template>Normal</Template>
  <TotalTime>4</TotalTime>
  <Pages>17</Pages>
  <Words>5946</Words>
  <Characters>34277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40143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Sally Ronaldson</cp:lastModifiedBy>
  <cp:revision>6</cp:revision>
  <cp:lastPrinted>2022-03-11T01:46:00Z</cp:lastPrinted>
  <dcterms:created xsi:type="dcterms:W3CDTF">2022-03-07T21:15:00Z</dcterms:created>
  <dcterms:modified xsi:type="dcterms:W3CDTF">2022-03-11T01:46:00Z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f1a82f91-d884-434f-b25c-53b17fb0d396</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7a3d6dd0-fd38-495c-a957-dd11d36ca0ee</vt:lpwstr>
  </property>
  <property fmtid="{D5CDD505-2E9C-101B-9397-08002B2CF9AE}" pid="9" name="RecordPoint_WorkflowType">
    <vt:lpwstr>ActiveSubmitStub</vt:lpwstr>
  </property>
  <property fmtid="{D5CDD505-2E9C-101B-9397-08002B2CF9AE}" pid="10" name="RecordPoint_ActiveItemUniqueId">
    <vt:lpwstr>{9714bc96-1232-4778-897b-67d8d2e6c897}</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R0000198889</vt:lpwstr>
  </property>
  <property fmtid="{D5CDD505-2E9C-101B-9397-08002B2CF9AE}" pid="15" name="RecordPoint_SubmissionCompleted">
    <vt:lpwstr>2022-02-21T16:30:11.6026473+11:00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ClsUserRVM">
    <vt:lpwstr>[]</vt:lpwstr>
  </property>
  <property fmtid="{D5CDD505-2E9C-101B-9397-08002B2CF9AE}" pid="20"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1" name="bjDocumentLabelXML-0">
    <vt:lpwstr>ames.com/2008/01/sie/internal/label"&gt;&lt;element uid="66ddac19-06c4-4e63-b4dd-d8240d87a23f" value="" /&gt;&lt;/sisl&gt;</vt:lpwstr>
  </property>
  <property fmtid="{D5CDD505-2E9C-101B-9397-08002B2CF9AE}" pid="22" name="bjDocumentSecurityLabel">
    <vt:lpwstr>NO SECURITY CLASSIFICATION REQUIRED</vt:lpwstr>
  </property>
</Properties>
</file>